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7508" w14:textId="08BC8CCE" w:rsidR="00E07A2F" w:rsidRDefault="00E07A2F"/>
    <w:p w14:paraId="2B4664D0" w14:textId="77777777" w:rsidR="0071435F" w:rsidRDefault="0071435F" w:rsidP="0071435F">
      <w:pPr>
        <w:tabs>
          <w:tab w:val="left" w:pos="7590"/>
        </w:tabs>
        <w:rPr>
          <w:rFonts w:ascii="Atkinson Hyperlegible" w:hAnsi="Atkinson Hyperlegible"/>
          <w:b/>
          <w:bCs/>
          <w:sz w:val="72"/>
          <w:szCs w:val="72"/>
        </w:rPr>
      </w:pPr>
      <w:r w:rsidRPr="0071435F">
        <w:rPr>
          <w:rFonts w:ascii="Atkinson Hyperlegible" w:hAnsi="Atkinson Hyperlegible"/>
          <w:b/>
          <w:bCs/>
          <w:noProof/>
          <w:sz w:val="72"/>
          <w:szCs w:val="72"/>
        </w:rPr>
        <mc:AlternateContent>
          <mc:Choice Requires="wps">
            <w:drawing>
              <wp:anchor distT="0" distB="0" distL="114300" distR="114300" simplePos="0" relativeHeight="251663872" behindDoc="0" locked="0" layoutInCell="1" allowOverlap="1" wp14:anchorId="1E3FA90D" wp14:editId="7BD773B8">
                <wp:simplePos x="0" y="0"/>
                <wp:positionH relativeFrom="column">
                  <wp:posOffset>4933950</wp:posOffset>
                </wp:positionH>
                <wp:positionV relativeFrom="paragraph">
                  <wp:posOffset>6985</wp:posOffset>
                </wp:positionV>
                <wp:extent cx="14573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33425"/>
                        </a:xfrm>
                        <a:prstGeom prst="rect">
                          <a:avLst/>
                        </a:prstGeom>
                        <a:solidFill>
                          <a:srgbClr val="FFFFFF"/>
                        </a:solidFill>
                        <a:ln w="9525">
                          <a:solidFill>
                            <a:srgbClr val="000000"/>
                          </a:solidFill>
                          <a:miter lim="800000"/>
                          <a:headEnd/>
                          <a:tailEnd/>
                        </a:ln>
                      </wps:spPr>
                      <wps:txbx>
                        <w:txbxContent>
                          <w:p w14:paraId="64ED7A0A" w14:textId="77777777" w:rsidR="0071435F" w:rsidRDefault="0071435F" w:rsidP="0071435F">
                            <w:r>
                              <w:t>Sheet Number:</w:t>
                            </w:r>
                          </w:p>
                          <w:p w14:paraId="056FC4A7" w14:textId="34826F3C"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A90D" id="_x0000_t202" coordsize="21600,21600" o:spt="202" path="m,l,21600r21600,l21600,xe">
                <v:stroke joinstyle="miter"/>
                <v:path gradientshapeok="t" o:connecttype="rect"/>
              </v:shapetype>
              <v:shape id="Text Box 1" o:spid="_x0000_s1026" type="#_x0000_t202" style="position:absolute;margin-left:388.5pt;margin-top:.55pt;width:114.75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">
                <v:textbox>
                  <w:txbxContent>
                    <w:p w14:paraId="64ED7A0A" w14:textId="77777777" w:rsidR="0071435F" w:rsidRDefault="0071435F" w:rsidP="0071435F">
                      <w:r>
                        <w:t>Sheet Number:</w:t>
                      </w:r>
                    </w:p>
                    <w:p w14:paraId="056FC4A7" w14:textId="34826F3C"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/49</w:t>
                      </w:r>
                    </w:p>
                  </w:txbxContent>
                </v:textbox>
                <w10:wrap type="square"/>
              </v:shape>
            </w:pict>
          </mc:Fallback>
        </mc:AlternateContent>
      </w:r>
      <w:r w:rsidRPr="0071435F">
        <w:rPr>
          <w:rFonts w:ascii="Atkinson Hyperlegible" w:hAnsi="Atkinson Hyperlegible"/>
          <w:b/>
          <w:bCs/>
          <w:sz w:val="72"/>
          <w:szCs w:val="72"/>
        </w:rPr>
        <w:t>Information for Unitary Councillors</w:t>
      </w:r>
    </w:p>
    <w:tbl>
      <w:tblPr>
        <w:tblStyle w:val="TableGrid"/>
        <w:tblW w:w="0" w:type="auto"/>
        <w:tblLook w:val="04A0" w:firstRow="1" w:lastRow="0" w:firstColumn="1" w:lastColumn="0" w:noHBand="0" w:noVBand="1"/>
      </w:tblPr>
      <w:tblGrid>
        <w:gridCol w:w="1555"/>
        <w:gridCol w:w="7461"/>
      </w:tblGrid>
      <w:tr w:rsidR="0071435F" w14:paraId="7FD4E8F1" w14:textId="77777777" w:rsidTr="0071435F">
        <w:tc>
          <w:tcPr>
            <w:tcW w:w="1555" w:type="dxa"/>
          </w:tcPr>
          <w:p w14:paraId="334305BB" w14:textId="090F092A" w:rsidR="0071435F" w:rsidRDefault="0071435F" w:rsidP="0071435F">
            <w:pPr>
              <w:tabs>
                <w:tab w:val="left" w:pos="7590"/>
              </w:tabs>
              <w:rPr>
                <w:rFonts w:ascii="Atkinson Hyperlegible" w:hAnsi="Atkinson Hyperlegible"/>
                <w:b/>
                <w:bCs/>
              </w:rPr>
            </w:pPr>
            <w:r>
              <w:rPr>
                <w:rFonts w:ascii="Atkinson Hyperlegible" w:hAnsi="Atkinson Hyperlegible"/>
                <w:b/>
                <w:bCs/>
              </w:rPr>
              <w:t>From:</w:t>
            </w:r>
          </w:p>
        </w:tc>
        <w:tc>
          <w:tcPr>
            <w:tcW w:w="7461" w:type="dxa"/>
          </w:tcPr>
          <w:p w14:paraId="2D3FB379" w14:textId="5FB1E376" w:rsidR="0071435F" w:rsidRDefault="001F37B6" w:rsidP="0071435F">
            <w:pPr>
              <w:tabs>
                <w:tab w:val="left" w:pos="7590"/>
              </w:tabs>
              <w:rPr>
                <w:rFonts w:ascii="Atkinson Hyperlegible" w:hAnsi="Atkinson Hyperlegible"/>
                <w:b/>
                <w:bCs/>
              </w:rPr>
            </w:pPr>
            <w:r>
              <w:rPr>
                <w:rFonts w:ascii="Atkinson Hyperlegible" w:hAnsi="Atkinson Hyperlegible"/>
                <w:b/>
                <w:bCs/>
              </w:rPr>
              <w:t>Paul Harding</w:t>
            </w:r>
          </w:p>
        </w:tc>
      </w:tr>
    </w:tbl>
    <w:p w14:paraId="314A540E"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980"/>
        <w:gridCol w:w="7036"/>
      </w:tblGrid>
      <w:tr w:rsidR="0071435F" w14:paraId="0962386D" w14:textId="77777777" w:rsidTr="0071435F">
        <w:tc>
          <w:tcPr>
            <w:tcW w:w="1980" w:type="dxa"/>
          </w:tcPr>
          <w:p w14:paraId="76E0C477" w14:textId="7580C0C5"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Relevant </w:t>
            </w:r>
            <w:r w:rsidR="005504D1">
              <w:rPr>
                <w:rFonts w:ascii="Atkinson Hyperlegible" w:hAnsi="Atkinson Hyperlegible"/>
                <w:b/>
                <w:bCs/>
              </w:rPr>
              <w:t>E</w:t>
            </w:r>
            <w:r>
              <w:rPr>
                <w:rFonts w:ascii="Atkinson Hyperlegible" w:hAnsi="Atkinson Hyperlegible"/>
                <w:b/>
                <w:bCs/>
              </w:rPr>
              <w:t>LT Director and sign-off date:</w:t>
            </w:r>
          </w:p>
        </w:tc>
        <w:tc>
          <w:tcPr>
            <w:tcW w:w="7036" w:type="dxa"/>
          </w:tcPr>
          <w:p w14:paraId="3E2437B4" w14:textId="77777777" w:rsidR="0071435F" w:rsidRDefault="00CC08D4" w:rsidP="0071435F">
            <w:pPr>
              <w:tabs>
                <w:tab w:val="left" w:pos="7590"/>
              </w:tabs>
              <w:rPr>
                <w:rFonts w:ascii="Atkinson Hyperlegible" w:hAnsi="Atkinson Hyperlegible"/>
                <w:b/>
                <w:bCs/>
              </w:rPr>
            </w:pPr>
            <w:r>
              <w:rPr>
                <w:rFonts w:ascii="Atkinson Hyperlegible" w:hAnsi="Atkinson Hyperlegible"/>
                <w:b/>
                <w:bCs/>
              </w:rPr>
              <w:t>Nicola Hix</w:t>
            </w:r>
          </w:p>
          <w:p w14:paraId="74642142" w14:textId="77777777" w:rsidR="00CC08D4" w:rsidRDefault="00CC08D4" w:rsidP="0071435F">
            <w:pPr>
              <w:tabs>
                <w:tab w:val="left" w:pos="7590"/>
              </w:tabs>
              <w:rPr>
                <w:rFonts w:ascii="Atkinson Hyperlegible" w:hAnsi="Atkinson Hyperlegible"/>
                <w:b/>
                <w:bCs/>
              </w:rPr>
            </w:pPr>
          </w:p>
          <w:p w14:paraId="27DDF73A" w14:textId="1928E989" w:rsidR="00CC08D4" w:rsidRDefault="00CC08D4" w:rsidP="0071435F">
            <w:pPr>
              <w:tabs>
                <w:tab w:val="left" w:pos="7590"/>
              </w:tabs>
              <w:rPr>
                <w:rFonts w:ascii="Atkinson Hyperlegible" w:hAnsi="Atkinson Hyperlegible"/>
                <w:b/>
                <w:bCs/>
              </w:rPr>
            </w:pPr>
            <w:r>
              <w:rPr>
                <w:rFonts w:ascii="Atkinson Hyperlegible" w:hAnsi="Atkinson Hyperlegible"/>
                <w:b/>
                <w:bCs/>
              </w:rPr>
              <w:t>6/4/23</w:t>
            </w:r>
          </w:p>
        </w:tc>
      </w:tr>
    </w:tbl>
    <w:p w14:paraId="32042C72"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64557AB" w14:textId="77777777" w:rsidTr="0071435F">
        <w:tc>
          <w:tcPr>
            <w:tcW w:w="1696" w:type="dxa"/>
          </w:tcPr>
          <w:p w14:paraId="612871D5" w14:textId="1226E8F8" w:rsidR="0071435F" w:rsidRDefault="0071435F" w:rsidP="0071435F">
            <w:pPr>
              <w:tabs>
                <w:tab w:val="left" w:pos="7590"/>
              </w:tabs>
              <w:rPr>
                <w:rFonts w:ascii="Atkinson Hyperlegible" w:hAnsi="Atkinson Hyperlegible"/>
                <w:b/>
                <w:bCs/>
              </w:rPr>
            </w:pPr>
            <w:r>
              <w:rPr>
                <w:rFonts w:ascii="Atkinson Hyperlegible" w:hAnsi="Atkinson Hyperlegible"/>
                <w:b/>
                <w:bCs/>
              </w:rPr>
              <w:t>Date:</w:t>
            </w:r>
          </w:p>
        </w:tc>
        <w:tc>
          <w:tcPr>
            <w:tcW w:w="7320" w:type="dxa"/>
          </w:tcPr>
          <w:p w14:paraId="67A3E998" w14:textId="50DF454D" w:rsidR="0071435F" w:rsidRDefault="00F76A6F" w:rsidP="0071435F">
            <w:pPr>
              <w:tabs>
                <w:tab w:val="left" w:pos="7590"/>
              </w:tabs>
              <w:rPr>
                <w:rFonts w:ascii="Atkinson Hyperlegible" w:hAnsi="Atkinson Hyperlegible"/>
                <w:b/>
                <w:bCs/>
              </w:rPr>
            </w:pPr>
            <w:r>
              <w:rPr>
                <w:rFonts w:ascii="Atkinson Hyperlegible" w:hAnsi="Atkinson Hyperlegible"/>
                <w:b/>
                <w:bCs/>
              </w:rPr>
              <w:t xml:space="preserve">Wednesday </w:t>
            </w:r>
            <w:r w:rsidR="00F46E90">
              <w:rPr>
                <w:rFonts w:ascii="Atkinson Hyperlegible" w:hAnsi="Atkinson Hyperlegible"/>
                <w:b/>
                <w:bCs/>
              </w:rPr>
              <w:t>6</w:t>
            </w:r>
            <w:r w:rsidRPr="00F76A6F">
              <w:rPr>
                <w:rFonts w:ascii="Atkinson Hyperlegible" w:hAnsi="Atkinson Hyperlegible"/>
                <w:b/>
                <w:bCs/>
                <w:vertAlign w:val="superscript"/>
              </w:rPr>
              <w:t>th</w:t>
            </w:r>
            <w:r>
              <w:rPr>
                <w:rFonts w:ascii="Atkinson Hyperlegible" w:hAnsi="Atkinson Hyperlegible"/>
                <w:b/>
                <w:bCs/>
              </w:rPr>
              <w:t xml:space="preserve"> April 2023</w:t>
            </w:r>
          </w:p>
        </w:tc>
      </w:tr>
    </w:tbl>
    <w:p w14:paraId="637FE49A"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4BAFA28" w14:textId="77777777" w:rsidTr="0071435F">
        <w:tc>
          <w:tcPr>
            <w:tcW w:w="1696" w:type="dxa"/>
          </w:tcPr>
          <w:p w14:paraId="3214C4D8" w14:textId="097600D7" w:rsidR="0071435F" w:rsidRDefault="0071435F" w:rsidP="0071435F">
            <w:pPr>
              <w:tabs>
                <w:tab w:val="left" w:pos="7590"/>
              </w:tabs>
              <w:rPr>
                <w:rFonts w:ascii="Atkinson Hyperlegible" w:hAnsi="Atkinson Hyperlegible"/>
                <w:b/>
                <w:bCs/>
              </w:rPr>
            </w:pPr>
            <w:r>
              <w:rPr>
                <w:rFonts w:ascii="Atkinson Hyperlegible" w:hAnsi="Atkinson Hyperlegible"/>
                <w:b/>
                <w:bCs/>
              </w:rPr>
              <w:t>To:</w:t>
            </w:r>
          </w:p>
        </w:tc>
        <w:tc>
          <w:tcPr>
            <w:tcW w:w="7320" w:type="dxa"/>
          </w:tcPr>
          <w:p w14:paraId="61D0723A" w14:textId="754DE810"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All Unitary Councillors </w:t>
            </w:r>
          </w:p>
        </w:tc>
      </w:tr>
    </w:tbl>
    <w:p w14:paraId="0E79B835" w14:textId="4D07911E" w:rsidR="0071435F" w:rsidRDefault="0071435F" w:rsidP="0071435F">
      <w:pPr>
        <w:tabs>
          <w:tab w:val="left" w:pos="7590"/>
        </w:tabs>
        <w:rPr>
          <w:rFonts w:ascii="Atkinson Hyperlegible" w:hAnsi="Atkinson Hyperlegible"/>
          <w:b/>
          <w:bCs/>
        </w:rPr>
      </w:pPr>
    </w:p>
    <w:p w14:paraId="36570297" w14:textId="0C5005ED" w:rsidR="008B21BD" w:rsidRPr="00B661F4" w:rsidRDefault="00B661F4" w:rsidP="0071435F">
      <w:pPr>
        <w:tabs>
          <w:tab w:val="left" w:pos="7590"/>
        </w:tabs>
        <w:rPr>
          <w:rFonts w:ascii="Atkinson Hyperlegible" w:hAnsi="Atkinson Hyperlegible"/>
          <w:b/>
          <w:bCs/>
          <w:sz w:val="56"/>
          <w:szCs w:val="56"/>
        </w:rPr>
      </w:pPr>
      <w:r w:rsidRPr="00B661F4">
        <w:rPr>
          <w:rFonts w:ascii="Atkinson Hyperlegible" w:hAnsi="Atkinson Hyperlegible"/>
          <w:b/>
          <w:bCs/>
          <w:sz w:val="56"/>
          <w:szCs w:val="56"/>
        </w:rPr>
        <w:t>Energy Support Schemes</w:t>
      </w:r>
    </w:p>
    <w:p w14:paraId="20DA37DD" w14:textId="77777777" w:rsidR="008B21BD" w:rsidRDefault="008B21BD" w:rsidP="0071435F">
      <w:pPr>
        <w:tabs>
          <w:tab w:val="left" w:pos="7590"/>
        </w:tabs>
        <w:rPr>
          <w:rFonts w:ascii="Atkinson Hyperlegible" w:hAnsi="Atkinson Hyperlegible"/>
          <w:b/>
          <w:bCs/>
        </w:rPr>
      </w:pPr>
    </w:p>
    <w:p w14:paraId="7406977E" w14:textId="750010AA" w:rsidR="0071435F" w:rsidRPr="00B31317" w:rsidRDefault="0071435F" w:rsidP="0071435F">
      <w:pPr>
        <w:rPr>
          <w:rFonts w:ascii="Arial" w:hAnsi="Arial" w:cs="Arial"/>
          <w:color w:val="000000" w:themeColor="text1"/>
          <w:sz w:val="24"/>
          <w:szCs w:val="24"/>
        </w:rPr>
      </w:pPr>
      <w:r w:rsidRPr="00B31317">
        <w:rPr>
          <w:rFonts w:ascii="Arial" w:hAnsi="Arial" w:cs="Arial"/>
          <w:color w:val="000000" w:themeColor="text1"/>
          <w:sz w:val="24"/>
          <w:szCs w:val="24"/>
        </w:rPr>
        <w:t>Dear Councillors</w:t>
      </w:r>
      <w:r w:rsidR="00B661F4" w:rsidRPr="00B31317">
        <w:rPr>
          <w:rFonts w:ascii="Arial" w:hAnsi="Arial" w:cs="Arial"/>
          <w:color w:val="000000" w:themeColor="text1"/>
          <w:sz w:val="24"/>
          <w:szCs w:val="24"/>
        </w:rPr>
        <w:t>,</w:t>
      </w:r>
    </w:p>
    <w:p w14:paraId="3BEEC0A6" w14:textId="77777777" w:rsidR="0071435F" w:rsidRPr="00B31317" w:rsidRDefault="0071435F" w:rsidP="0071435F">
      <w:pPr>
        <w:rPr>
          <w:rFonts w:ascii="Arial" w:hAnsi="Arial" w:cs="Arial"/>
          <w:color w:val="000000" w:themeColor="text1"/>
          <w:sz w:val="24"/>
          <w:szCs w:val="24"/>
        </w:rPr>
      </w:pPr>
    </w:p>
    <w:p w14:paraId="21CBC3CF" w14:textId="18C61DD1" w:rsidR="0071435F" w:rsidRPr="00B31317" w:rsidRDefault="0071435F" w:rsidP="0071435F">
      <w:pPr>
        <w:rPr>
          <w:rFonts w:ascii="Arial" w:hAnsi="Arial" w:cs="Arial"/>
          <w:color w:val="000000" w:themeColor="text1"/>
          <w:sz w:val="24"/>
          <w:szCs w:val="24"/>
        </w:rPr>
      </w:pPr>
      <w:r w:rsidRPr="00B31317">
        <w:rPr>
          <w:rFonts w:ascii="Arial" w:hAnsi="Arial" w:cs="Arial"/>
          <w:color w:val="000000" w:themeColor="text1"/>
          <w:sz w:val="24"/>
          <w:szCs w:val="24"/>
        </w:rPr>
        <w:t>We want to make you aware of a couple of domestic energy support schemes which the district councils have been asked to administer by the government in case you are asked about these.</w:t>
      </w:r>
    </w:p>
    <w:p w14:paraId="73A74EDD" w14:textId="12C2A87D" w:rsidR="0071435F" w:rsidRPr="00B31317" w:rsidRDefault="0071435F" w:rsidP="0071435F">
      <w:pPr>
        <w:rPr>
          <w:rFonts w:ascii="Arial" w:hAnsi="Arial" w:cs="Arial"/>
          <w:color w:val="000000" w:themeColor="text1"/>
          <w:sz w:val="24"/>
          <w:szCs w:val="24"/>
        </w:rPr>
      </w:pPr>
      <w:r w:rsidRPr="00B31317">
        <w:rPr>
          <w:rFonts w:ascii="Arial" w:hAnsi="Arial" w:cs="Arial"/>
          <w:color w:val="000000" w:themeColor="text1"/>
          <w:sz w:val="24"/>
          <w:szCs w:val="24"/>
        </w:rPr>
        <w:t>The unexpected request from government was made in February and is a task that has been inherited by Somerset Council to complete.</w:t>
      </w:r>
    </w:p>
    <w:p w14:paraId="7489644D" w14:textId="77777777" w:rsidR="0071435F" w:rsidRPr="00B31317" w:rsidRDefault="0071435F" w:rsidP="0071435F">
      <w:pPr>
        <w:rPr>
          <w:rFonts w:ascii="Arial" w:hAnsi="Arial" w:cs="Arial"/>
          <w:color w:val="000000" w:themeColor="text1"/>
          <w:sz w:val="24"/>
          <w:szCs w:val="24"/>
        </w:rPr>
      </w:pPr>
      <w:r w:rsidRPr="00B31317">
        <w:rPr>
          <w:rFonts w:ascii="Arial" w:hAnsi="Arial" w:cs="Arial"/>
          <w:color w:val="000000" w:themeColor="text1"/>
          <w:sz w:val="24"/>
          <w:szCs w:val="24"/>
        </w:rPr>
        <w:t xml:space="preserve">There are two schemes available to certain households. The </w:t>
      </w:r>
      <w:r w:rsidRPr="00B31317">
        <w:rPr>
          <w:rStyle w:val="normaltextrun"/>
          <w:rFonts w:ascii="Arial" w:hAnsi="Arial" w:cs="Arial"/>
          <w:b/>
          <w:bCs/>
          <w:sz w:val="24"/>
          <w:szCs w:val="24"/>
        </w:rPr>
        <w:t>Energy Bills Support Scheme Alternative Funding</w:t>
      </w:r>
      <w:r w:rsidRPr="00B31317">
        <w:rPr>
          <w:rStyle w:val="normaltextrun"/>
          <w:rFonts w:ascii="Arial" w:hAnsi="Arial" w:cs="Arial"/>
          <w:sz w:val="24"/>
          <w:szCs w:val="24"/>
        </w:rPr>
        <w:t xml:space="preserve"> (EBSS AF) and </w:t>
      </w:r>
      <w:r w:rsidRPr="00B31317">
        <w:rPr>
          <w:rStyle w:val="normaltextrun"/>
          <w:rFonts w:ascii="Arial" w:hAnsi="Arial" w:cs="Arial"/>
          <w:b/>
          <w:bCs/>
          <w:sz w:val="24"/>
          <w:szCs w:val="24"/>
        </w:rPr>
        <w:t>Alternative Fuel Payment (AFP).</w:t>
      </w:r>
    </w:p>
    <w:p w14:paraId="55D9CD17" w14:textId="77777777" w:rsidR="0071435F" w:rsidRPr="00B31317" w:rsidRDefault="0071435F" w:rsidP="0071435F">
      <w:pPr>
        <w:rPr>
          <w:rFonts w:ascii="Arial" w:hAnsi="Arial" w:cs="Arial"/>
          <w:color w:val="000000" w:themeColor="text1"/>
          <w:sz w:val="24"/>
          <w:szCs w:val="24"/>
        </w:rPr>
      </w:pPr>
    </w:p>
    <w:p w14:paraId="1F9DD395" w14:textId="77777777" w:rsidR="0071435F" w:rsidRPr="00B31317" w:rsidRDefault="0071435F" w:rsidP="0071435F">
      <w:pPr>
        <w:pStyle w:val="paragraph"/>
        <w:numPr>
          <w:ilvl w:val="0"/>
          <w:numId w:val="1"/>
        </w:numPr>
        <w:spacing w:before="0" w:beforeAutospacing="0" w:after="0" w:afterAutospacing="0"/>
        <w:textAlignment w:val="baseline"/>
        <w:rPr>
          <w:rFonts w:ascii="Arial" w:hAnsi="Arial" w:cs="Arial"/>
          <w:sz w:val="24"/>
          <w:szCs w:val="24"/>
        </w:rPr>
      </w:pPr>
      <w:bookmarkStart w:id="0" w:name="_MailAutoSig"/>
      <w:r w:rsidRPr="00B31317">
        <w:rPr>
          <w:rStyle w:val="normaltextrun"/>
          <w:rFonts w:ascii="Arial" w:hAnsi="Arial" w:cs="Arial"/>
          <w:sz w:val="24"/>
          <w:szCs w:val="24"/>
        </w:rPr>
        <w:t xml:space="preserve">The </w:t>
      </w:r>
      <w:r w:rsidRPr="00B31317">
        <w:rPr>
          <w:rStyle w:val="normaltextrun"/>
          <w:rFonts w:ascii="Arial" w:hAnsi="Arial" w:cs="Arial"/>
          <w:b/>
          <w:bCs/>
          <w:sz w:val="24"/>
          <w:szCs w:val="24"/>
        </w:rPr>
        <w:t>Energy Bills Support Scheme Alternative Funding</w:t>
      </w:r>
      <w:r w:rsidRPr="00B31317">
        <w:rPr>
          <w:rStyle w:val="normaltextrun"/>
          <w:rFonts w:ascii="Arial" w:hAnsi="Arial" w:cs="Arial"/>
          <w:sz w:val="24"/>
          <w:szCs w:val="24"/>
        </w:rPr>
        <w:t xml:space="preserve"> (EBSS AF) is providing support of </w:t>
      </w:r>
      <w:r w:rsidRPr="00B31317">
        <w:rPr>
          <w:rStyle w:val="normaltextrun"/>
          <w:rFonts w:ascii="Arial" w:hAnsi="Arial" w:cs="Arial"/>
          <w:b/>
          <w:bCs/>
          <w:sz w:val="24"/>
          <w:szCs w:val="24"/>
        </w:rPr>
        <w:t xml:space="preserve">£400 </w:t>
      </w:r>
      <w:r w:rsidRPr="00B31317">
        <w:rPr>
          <w:rStyle w:val="normaltextrun"/>
          <w:rFonts w:ascii="Arial" w:hAnsi="Arial" w:cs="Arial"/>
          <w:sz w:val="24"/>
          <w:szCs w:val="24"/>
        </w:rPr>
        <w:t>to around 900,000 households in Great Britain who are not supplied by a domestic electricity contract and who are unable to receive support automatically through the Energy Bills Support Scheme (the £66pm discount delivered by electricity suppliers).  </w:t>
      </w:r>
      <w:r w:rsidRPr="00B31317">
        <w:rPr>
          <w:rStyle w:val="eop"/>
          <w:rFonts w:ascii="Arial" w:hAnsi="Arial" w:cs="Arial"/>
          <w:sz w:val="24"/>
          <w:szCs w:val="24"/>
        </w:rPr>
        <w:t> </w:t>
      </w:r>
    </w:p>
    <w:p w14:paraId="04CAC802" w14:textId="77777777" w:rsidR="0071435F" w:rsidRPr="00B31317" w:rsidRDefault="0071435F" w:rsidP="0071435F">
      <w:pPr>
        <w:pStyle w:val="paragraph"/>
        <w:spacing w:before="0" w:beforeAutospacing="0" w:after="0" w:afterAutospacing="0"/>
        <w:ind w:left="720"/>
        <w:textAlignment w:val="baseline"/>
        <w:rPr>
          <w:rStyle w:val="normaltextrun"/>
          <w:rFonts w:ascii="Arial" w:hAnsi="Arial" w:cs="Arial"/>
          <w:color w:val="000000"/>
          <w:sz w:val="24"/>
          <w:szCs w:val="24"/>
        </w:rPr>
      </w:pPr>
    </w:p>
    <w:p w14:paraId="7267B623" w14:textId="77777777" w:rsidR="0071435F" w:rsidRPr="00B31317" w:rsidRDefault="0071435F" w:rsidP="0071435F">
      <w:pPr>
        <w:pStyle w:val="paragraph"/>
        <w:spacing w:before="0" w:beforeAutospacing="0" w:after="0" w:afterAutospacing="0"/>
        <w:ind w:left="720"/>
        <w:textAlignment w:val="baseline"/>
        <w:rPr>
          <w:rStyle w:val="eop"/>
          <w:rFonts w:ascii="Arial" w:hAnsi="Arial" w:cs="Arial"/>
          <w:sz w:val="24"/>
          <w:szCs w:val="24"/>
        </w:rPr>
      </w:pPr>
      <w:r w:rsidRPr="00B31317">
        <w:rPr>
          <w:rStyle w:val="normaltextrun"/>
          <w:rFonts w:ascii="Arial" w:hAnsi="Arial" w:cs="Arial"/>
          <w:color w:val="000000"/>
          <w:sz w:val="24"/>
          <w:szCs w:val="24"/>
        </w:rPr>
        <w:t xml:space="preserve">Eligible households need to complete a short online application form </w:t>
      </w:r>
      <w:hyperlink r:id="rId11" w:history="1">
        <w:r w:rsidRPr="00B31317">
          <w:rPr>
            <w:rStyle w:val="Hyperlink"/>
            <w:rFonts w:ascii="Arial" w:hAnsi="Arial" w:cs="Arial"/>
            <w:sz w:val="24"/>
            <w:szCs w:val="24"/>
          </w:rPr>
          <w:t>via the GOV.UK webpage</w:t>
        </w:r>
      </w:hyperlink>
      <w:r w:rsidRPr="00B31317">
        <w:rPr>
          <w:rStyle w:val="normaltextrun"/>
          <w:rFonts w:ascii="Arial" w:hAnsi="Arial" w:cs="Arial"/>
          <w:color w:val="000000"/>
          <w:sz w:val="24"/>
          <w:szCs w:val="24"/>
        </w:rPr>
        <w:t xml:space="preserve"> (or via a call centre for those not online) which launched on 27 February and </w:t>
      </w:r>
      <w:r w:rsidRPr="00B31317">
        <w:rPr>
          <w:rStyle w:val="normaltextrun"/>
          <w:rFonts w:ascii="Arial" w:hAnsi="Arial" w:cs="Arial"/>
          <w:b/>
          <w:bCs/>
          <w:color w:val="000000"/>
          <w:sz w:val="24"/>
          <w:szCs w:val="24"/>
        </w:rPr>
        <w:t>closes on 31 May 2023.</w:t>
      </w:r>
      <w:r w:rsidRPr="00B31317">
        <w:rPr>
          <w:rStyle w:val="normaltextrun"/>
          <w:rFonts w:ascii="Arial" w:hAnsi="Arial" w:cs="Arial"/>
          <w:color w:val="000000"/>
          <w:sz w:val="24"/>
          <w:szCs w:val="24"/>
        </w:rPr>
        <w:t>  </w:t>
      </w:r>
      <w:r w:rsidRPr="00B31317">
        <w:rPr>
          <w:rStyle w:val="eop"/>
          <w:rFonts w:ascii="Arial" w:hAnsi="Arial" w:cs="Arial"/>
          <w:color w:val="000000"/>
          <w:sz w:val="24"/>
          <w:szCs w:val="24"/>
        </w:rPr>
        <w:t> </w:t>
      </w:r>
    </w:p>
    <w:p w14:paraId="0FC34C83" w14:textId="77777777" w:rsidR="0071435F" w:rsidRPr="00B31317" w:rsidRDefault="0071435F" w:rsidP="0071435F">
      <w:pPr>
        <w:pStyle w:val="paragraph"/>
        <w:spacing w:before="0" w:beforeAutospacing="0" w:after="0" w:afterAutospacing="0"/>
        <w:ind w:left="720"/>
        <w:textAlignment w:val="baseline"/>
        <w:rPr>
          <w:rStyle w:val="eop"/>
          <w:rFonts w:ascii="Arial" w:hAnsi="Arial" w:cs="Arial"/>
          <w:sz w:val="24"/>
          <w:szCs w:val="24"/>
        </w:rPr>
      </w:pPr>
    </w:p>
    <w:p w14:paraId="525AF15D" w14:textId="77777777" w:rsidR="0071435F" w:rsidRPr="00B31317" w:rsidRDefault="0071435F" w:rsidP="0071435F">
      <w:pPr>
        <w:pStyle w:val="paragraph"/>
        <w:spacing w:before="0" w:beforeAutospacing="0" w:after="0" w:afterAutospacing="0"/>
        <w:ind w:left="720"/>
        <w:textAlignment w:val="baseline"/>
        <w:rPr>
          <w:rStyle w:val="eop"/>
          <w:rFonts w:ascii="Arial" w:hAnsi="Arial" w:cs="Arial"/>
          <w:sz w:val="24"/>
          <w:szCs w:val="24"/>
        </w:rPr>
      </w:pPr>
      <w:r w:rsidRPr="00B31317">
        <w:rPr>
          <w:rStyle w:val="normaltextrun"/>
          <w:rFonts w:ascii="Arial" w:hAnsi="Arial" w:cs="Arial"/>
          <w:color w:val="000000"/>
          <w:sz w:val="24"/>
          <w:szCs w:val="24"/>
          <w:shd w:val="clear" w:color="auto" w:fill="FFFFFF"/>
        </w:rPr>
        <w:t xml:space="preserve">Once an application has been made, eligible applicant’s details </w:t>
      </w:r>
      <w:r w:rsidRPr="00B31317">
        <w:rPr>
          <w:rStyle w:val="normaltextrun"/>
          <w:rFonts w:ascii="Arial" w:hAnsi="Arial" w:cs="Arial"/>
          <w:sz w:val="24"/>
          <w:szCs w:val="24"/>
        </w:rPr>
        <w:t>are shared with their local authority who must undertake various checks on the application before they deliver the £400 support in a single, non-repayable payment into the applicant’s bank account.</w:t>
      </w:r>
      <w:r w:rsidRPr="00B31317">
        <w:rPr>
          <w:rStyle w:val="eop"/>
          <w:rFonts w:ascii="Arial" w:hAnsi="Arial" w:cs="Arial"/>
          <w:color w:val="000000"/>
          <w:sz w:val="24"/>
          <w:szCs w:val="24"/>
          <w:shd w:val="clear" w:color="auto" w:fill="FFFFFF"/>
        </w:rPr>
        <w:t> </w:t>
      </w:r>
    </w:p>
    <w:p w14:paraId="05EA6A56" w14:textId="77777777" w:rsidR="0071435F" w:rsidRPr="00B31317" w:rsidRDefault="0071435F" w:rsidP="0071435F">
      <w:pPr>
        <w:pStyle w:val="paragraph"/>
        <w:spacing w:before="0" w:beforeAutospacing="0" w:after="0" w:afterAutospacing="0"/>
        <w:ind w:left="720"/>
        <w:textAlignment w:val="baseline"/>
        <w:rPr>
          <w:rStyle w:val="normaltextrun"/>
          <w:rFonts w:ascii="Arial" w:hAnsi="Arial" w:cs="Arial"/>
          <w:sz w:val="24"/>
          <w:szCs w:val="24"/>
        </w:rPr>
      </w:pPr>
    </w:p>
    <w:p w14:paraId="0CFE07CA" w14:textId="77777777" w:rsidR="0071435F" w:rsidRPr="00B31317" w:rsidRDefault="0071435F" w:rsidP="0071435F">
      <w:pPr>
        <w:pStyle w:val="paragraph"/>
        <w:spacing w:before="0" w:beforeAutospacing="0" w:after="0" w:afterAutospacing="0"/>
        <w:ind w:left="720"/>
        <w:textAlignment w:val="baseline"/>
        <w:rPr>
          <w:rFonts w:ascii="Arial" w:hAnsi="Arial" w:cs="Arial"/>
          <w:sz w:val="24"/>
          <w:szCs w:val="24"/>
        </w:rPr>
      </w:pPr>
      <w:r w:rsidRPr="00B31317">
        <w:rPr>
          <w:rStyle w:val="normaltextrun"/>
          <w:rFonts w:ascii="Arial" w:hAnsi="Arial" w:cs="Arial"/>
          <w:sz w:val="24"/>
          <w:szCs w:val="24"/>
        </w:rPr>
        <w:t>Some examples of likely eligible households include: </w:t>
      </w:r>
      <w:r w:rsidRPr="00B31317">
        <w:rPr>
          <w:rStyle w:val="eop"/>
          <w:rFonts w:ascii="Arial" w:hAnsi="Arial" w:cs="Arial"/>
          <w:sz w:val="24"/>
          <w:szCs w:val="24"/>
        </w:rPr>
        <w:t> </w:t>
      </w:r>
    </w:p>
    <w:p w14:paraId="087D79BF" w14:textId="77777777" w:rsidR="0071435F" w:rsidRPr="00B31317" w:rsidRDefault="0071435F" w:rsidP="0071435F">
      <w:pPr>
        <w:pStyle w:val="paragraph"/>
        <w:numPr>
          <w:ilvl w:val="1"/>
          <w:numId w:val="1"/>
        </w:numPr>
        <w:spacing w:before="0" w:beforeAutospacing="0" w:after="0" w:afterAutospacing="0"/>
        <w:textAlignment w:val="baseline"/>
        <w:rPr>
          <w:rFonts w:ascii="Arial" w:hAnsi="Arial" w:cs="Arial"/>
          <w:sz w:val="24"/>
          <w:szCs w:val="24"/>
        </w:rPr>
      </w:pPr>
      <w:r w:rsidRPr="00B31317">
        <w:rPr>
          <w:rStyle w:val="normaltextrun"/>
          <w:rFonts w:ascii="Arial" w:hAnsi="Arial" w:cs="Arial"/>
          <w:color w:val="000000"/>
          <w:sz w:val="24"/>
          <w:szCs w:val="24"/>
        </w:rPr>
        <w:t>Care home residents and others in care facilities/sheltered accommodation (wholly or partly self-funded) </w:t>
      </w:r>
      <w:r w:rsidRPr="00B31317">
        <w:rPr>
          <w:rStyle w:val="eop"/>
          <w:rFonts w:ascii="Arial" w:hAnsi="Arial" w:cs="Arial"/>
          <w:color w:val="000000"/>
          <w:sz w:val="24"/>
          <w:szCs w:val="24"/>
        </w:rPr>
        <w:t> </w:t>
      </w:r>
    </w:p>
    <w:p w14:paraId="50B4520D" w14:textId="77777777" w:rsidR="0071435F" w:rsidRPr="00B31317" w:rsidRDefault="0071435F" w:rsidP="0071435F">
      <w:pPr>
        <w:pStyle w:val="paragraph"/>
        <w:numPr>
          <w:ilvl w:val="1"/>
          <w:numId w:val="1"/>
        </w:numPr>
        <w:spacing w:before="0" w:beforeAutospacing="0" w:after="0" w:afterAutospacing="0"/>
        <w:textAlignment w:val="baseline"/>
        <w:rPr>
          <w:rStyle w:val="normaltextrun"/>
          <w:rFonts w:ascii="Arial" w:hAnsi="Arial" w:cs="Arial"/>
          <w:sz w:val="24"/>
          <w:szCs w:val="24"/>
        </w:rPr>
      </w:pPr>
      <w:r w:rsidRPr="00B31317">
        <w:rPr>
          <w:rStyle w:val="normaltextrun"/>
          <w:rFonts w:ascii="Arial" w:hAnsi="Arial" w:cs="Arial"/>
          <w:color w:val="000000"/>
          <w:sz w:val="24"/>
          <w:szCs w:val="24"/>
        </w:rPr>
        <w:t>Park home residents</w:t>
      </w:r>
    </w:p>
    <w:p w14:paraId="50BA6386" w14:textId="1426F544" w:rsidR="0071435F" w:rsidRPr="00B31317" w:rsidRDefault="0071435F" w:rsidP="0071435F">
      <w:pPr>
        <w:pStyle w:val="paragraph"/>
        <w:numPr>
          <w:ilvl w:val="1"/>
          <w:numId w:val="1"/>
        </w:numPr>
        <w:spacing w:before="0" w:beforeAutospacing="0" w:after="0" w:afterAutospacing="0"/>
        <w:textAlignment w:val="baseline"/>
        <w:rPr>
          <w:rFonts w:ascii="Arial" w:hAnsi="Arial" w:cs="Arial"/>
          <w:sz w:val="24"/>
          <w:szCs w:val="24"/>
        </w:rPr>
      </w:pPr>
      <w:r w:rsidRPr="00B31317">
        <w:rPr>
          <w:rStyle w:val="normaltextrun"/>
          <w:rFonts w:ascii="Arial" w:hAnsi="Arial" w:cs="Arial"/>
          <w:color w:val="000000"/>
          <w:sz w:val="24"/>
          <w:szCs w:val="24"/>
          <w:bdr w:val="none" w:sz="0" w:space="0" w:color="auto" w:frame="1"/>
        </w:rPr>
        <w:t>farmhouse on a commercial farm site</w:t>
      </w:r>
      <w:r w:rsidRPr="00B31317">
        <w:rPr>
          <w:rStyle w:val="normaltextrun"/>
          <w:rFonts w:ascii="Arial" w:hAnsi="Arial" w:cs="Arial"/>
          <w:sz w:val="24"/>
          <w:szCs w:val="24"/>
        </w:rPr>
        <w:t xml:space="preserve">  </w:t>
      </w:r>
    </w:p>
    <w:p w14:paraId="1988E67F" w14:textId="77777777" w:rsidR="0071435F" w:rsidRPr="00B31317" w:rsidRDefault="0071435F" w:rsidP="0071435F">
      <w:pPr>
        <w:rPr>
          <w:rStyle w:val="normaltextrun"/>
          <w:rFonts w:ascii="Arial" w:eastAsia="Times New Roman" w:hAnsi="Arial" w:cs="Arial"/>
          <w:color w:val="000000"/>
          <w:sz w:val="24"/>
          <w:szCs w:val="24"/>
        </w:rPr>
      </w:pPr>
    </w:p>
    <w:p w14:paraId="33FF4F4F" w14:textId="77777777" w:rsidR="0071435F" w:rsidRPr="00B31317" w:rsidRDefault="0071435F" w:rsidP="0071435F">
      <w:pPr>
        <w:pStyle w:val="paragraph"/>
        <w:numPr>
          <w:ilvl w:val="0"/>
          <w:numId w:val="1"/>
        </w:numPr>
        <w:spacing w:before="0" w:beforeAutospacing="0" w:after="0" w:afterAutospacing="0"/>
        <w:textAlignment w:val="baseline"/>
        <w:rPr>
          <w:rFonts w:ascii="Arial" w:hAnsi="Arial" w:cs="Arial"/>
          <w:sz w:val="24"/>
          <w:szCs w:val="24"/>
        </w:rPr>
      </w:pPr>
      <w:r w:rsidRPr="00B31317">
        <w:rPr>
          <w:rStyle w:val="normaltextrun"/>
          <w:rFonts w:ascii="Arial" w:hAnsi="Arial" w:cs="Arial"/>
          <w:color w:val="000000" w:themeColor="text1"/>
          <w:sz w:val="24"/>
          <w:szCs w:val="24"/>
        </w:rPr>
        <w:t xml:space="preserve">The </w:t>
      </w:r>
      <w:r w:rsidRPr="00B31317">
        <w:rPr>
          <w:rStyle w:val="normaltextrun"/>
          <w:rFonts w:ascii="Arial" w:hAnsi="Arial" w:cs="Arial"/>
          <w:b/>
          <w:bCs/>
          <w:color w:val="000000" w:themeColor="text1"/>
          <w:sz w:val="24"/>
          <w:szCs w:val="24"/>
        </w:rPr>
        <w:t>Alternative Fuel Payment scheme</w:t>
      </w:r>
      <w:r w:rsidRPr="00B31317">
        <w:rPr>
          <w:rStyle w:val="normaltextrun"/>
          <w:rFonts w:ascii="Arial" w:hAnsi="Arial" w:cs="Arial"/>
          <w:color w:val="000000" w:themeColor="text1"/>
          <w:sz w:val="24"/>
          <w:szCs w:val="24"/>
        </w:rPr>
        <w:t xml:space="preserve"> is delivering </w:t>
      </w:r>
      <w:r w:rsidRPr="00B31317">
        <w:rPr>
          <w:rStyle w:val="normaltextrun"/>
          <w:rFonts w:ascii="Arial" w:hAnsi="Arial" w:cs="Arial"/>
          <w:b/>
          <w:bCs/>
          <w:color w:val="000000" w:themeColor="text1"/>
          <w:sz w:val="24"/>
          <w:szCs w:val="24"/>
        </w:rPr>
        <w:t>£200</w:t>
      </w:r>
      <w:r w:rsidRPr="00B31317">
        <w:rPr>
          <w:rStyle w:val="normaltextrun"/>
          <w:rFonts w:ascii="Arial" w:hAnsi="Arial" w:cs="Arial"/>
          <w:color w:val="000000" w:themeColor="text1"/>
          <w:sz w:val="24"/>
          <w:szCs w:val="24"/>
        </w:rPr>
        <w:t xml:space="preserve"> to households who use alternative fuels such as heating oil, liquifies petroleum gas (LPG), coal or biomass, helping around 2 million off-grid households to meet their energy costs. </w:t>
      </w:r>
      <w:r w:rsidRPr="00B31317">
        <w:rPr>
          <w:rStyle w:val="eop"/>
          <w:rFonts w:ascii="Arial" w:hAnsi="Arial" w:cs="Arial"/>
          <w:color w:val="000000" w:themeColor="text1"/>
          <w:sz w:val="24"/>
          <w:szCs w:val="24"/>
        </w:rPr>
        <w:t> </w:t>
      </w:r>
      <w:r w:rsidRPr="00B31317">
        <w:rPr>
          <w:rStyle w:val="normaltextrun"/>
          <w:rFonts w:ascii="Arial" w:hAnsi="Arial" w:cs="Arial"/>
          <w:color w:val="000000" w:themeColor="text1"/>
          <w:sz w:val="24"/>
          <w:szCs w:val="24"/>
        </w:rPr>
        <w:t>The scheme particularly supports households in rural areas that are not connected to the mains gas grid.</w:t>
      </w:r>
    </w:p>
    <w:p w14:paraId="649253E0" w14:textId="77777777" w:rsidR="0071435F" w:rsidRPr="00B31317" w:rsidRDefault="0071435F" w:rsidP="0071435F">
      <w:pPr>
        <w:pStyle w:val="paragraph"/>
        <w:spacing w:before="0" w:beforeAutospacing="0" w:after="0" w:afterAutospacing="0"/>
        <w:ind w:left="360"/>
        <w:textAlignment w:val="baseline"/>
        <w:rPr>
          <w:rStyle w:val="normaltextrun"/>
          <w:rFonts w:ascii="Arial" w:hAnsi="Arial" w:cs="Arial"/>
          <w:sz w:val="24"/>
          <w:szCs w:val="24"/>
        </w:rPr>
      </w:pPr>
    </w:p>
    <w:p w14:paraId="5CA8B1D5" w14:textId="669FA429" w:rsidR="0071435F" w:rsidRPr="00B31317" w:rsidRDefault="0071435F" w:rsidP="0071435F">
      <w:pPr>
        <w:pStyle w:val="paragraph"/>
        <w:spacing w:before="0" w:beforeAutospacing="0" w:after="0" w:afterAutospacing="0"/>
        <w:ind w:left="720"/>
        <w:textAlignment w:val="baseline"/>
        <w:rPr>
          <w:rFonts w:ascii="Arial" w:hAnsi="Arial" w:cs="Arial"/>
          <w:sz w:val="24"/>
          <w:szCs w:val="24"/>
        </w:rPr>
      </w:pPr>
      <w:r w:rsidRPr="00B31317">
        <w:rPr>
          <w:rStyle w:val="normaltextrun"/>
          <w:rFonts w:ascii="Arial" w:hAnsi="Arial" w:cs="Arial"/>
          <w:sz w:val="24"/>
          <w:szCs w:val="24"/>
        </w:rPr>
        <w:t xml:space="preserve">Most households have received payment directly from their electricity supplier. A small proportion of households will need to apply for the AFP, for example because they do not have a relationship with an electricity supplier. Applications for this Alternative Fund opened on 6 March through </w:t>
      </w:r>
      <w:hyperlink r:id="rId12" w:history="1">
        <w:r w:rsidRPr="00B31317">
          <w:rPr>
            <w:rStyle w:val="Hyperlink"/>
            <w:rFonts w:ascii="Arial" w:hAnsi="Arial" w:cs="Arial"/>
            <w:sz w:val="24"/>
            <w:szCs w:val="24"/>
            <w:shd w:val="clear" w:color="auto" w:fill="FFFFFF"/>
          </w:rPr>
          <w:t>a GOV.UK portal</w:t>
        </w:r>
      </w:hyperlink>
      <w:r w:rsidRPr="00B31317">
        <w:rPr>
          <w:rStyle w:val="normaltextrun"/>
          <w:rFonts w:ascii="Arial" w:hAnsi="Arial" w:cs="Arial"/>
          <w:color w:val="000000"/>
          <w:sz w:val="24"/>
          <w:szCs w:val="24"/>
          <w:shd w:val="clear" w:color="auto" w:fill="FFFFFF"/>
        </w:rPr>
        <w:t xml:space="preserve"> which includes an overview of eligibility and what steps households need to take to apply for support</w:t>
      </w:r>
      <w:r w:rsidRPr="00B31317">
        <w:rPr>
          <w:rStyle w:val="normaltextrun"/>
          <w:rFonts w:ascii="Arial" w:hAnsi="Arial" w:cs="Arial"/>
          <w:sz w:val="24"/>
          <w:szCs w:val="24"/>
        </w:rPr>
        <w:t>.</w:t>
      </w:r>
      <w:r w:rsidRPr="00B31317">
        <w:rPr>
          <w:rStyle w:val="eop"/>
          <w:rFonts w:ascii="Arial" w:hAnsi="Arial" w:cs="Arial"/>
          <w:color w:val="000000"/>
          <w:sz w:val="24"/>
          <w:szCs w:val="24"/>
        </w:rPr>
        <w:t xml:space="preserve"> The </w:t>
      </w:r>
      <w:r w:rsidRPr="00B31317">
        <w:rPr>
          <w:rStyle w:val="eop"/>
          <w:rFonts w:ascii="Arial" w:hAnsi="Arial" w:cs="Arial"/>
          <w:b/>
          <w:bCs/>
          <w:color w:val="000000"/>
          <w:sz w:val="24"/>
          <w:szCs w:val="24"/>
        </w:rPr>
        <w:t>closing date is 31 May</w:t>
      </w:r>
      <w:r w:rsidR="00FF5A02">
        <w:rPr>
          <w:rStyle w:val="eop"/>
          <w:rFonts w:ascii="Arial" w:hAnsi="Arial" w:cs="Arial"/>
          <w:b/>
          <w:bCs/>
          <w:color w:val="000000"/>
          <w:sz w:val="24"/>
          <w:szCs w:val="24"/>
        </w:rPr>
        <w:t xml:space="preserve"> 2023</w:t>
      </w:r>
      <w:r w:rsidRPr="00B31317">
        <w:rPr>
          <w:rStyle w:val="eop"/>
          <w:rFonts w:ascii="Arial" w:hAnsi="Arial" w:cs="Arial"/>
          <w:b/>
          <w:bCs/>
          <w:color w:val="000000"/>
          <w:sz w:val="24"/>
          <w:szCs w:val="24"/>
        </w:rPr>
        <w:t>.</w:t>
      </w:r>
    </w:p>
    <w:p w14:paraId="4EBB2314" w14:textId="77777777" w:rsidR="0071435F" w:rsidRPr="00B31317" w:rsidRDefault="0071435F" w:rsidP="0071435F">
      <w:pPr>
        <w:rPr>
          <w:rStyle w:val="normaltextrun"/>
          <w:rFonts w:ascii="Arial" w:eastAsia="Times New Roman" w:hAnsi="Arial" w:cs="Arial"/>
          <w:color w:val="000000"/>
          <w:sz w:val="24"/>
          <w:szCs w:val="24"/>
        </w:rPr>
      </w:pPr>
    </w:p>
    <w:p w14:paraId="5ED4443E" w14:textId="73804415" w:rsidR="0071435F" w:rsidRPr="00B31317" w:rsidRDefault="0071435F" w:rsidP="0071435F">
      <w:pPr>
        <w:rPr>
          <w:rStyle w:val="normaltextrun"/>
          <w:rFonts w:ascii="Arial" w:eastAsia="Times New Roman" w:hAnsi="Arial" w:cs="Arial"/>
          <w:color w:val="000000"/>
          <w:sz w:val="24"/>
          <w:szCs w:val="24"/>
        </w:rPr>
      </w:pPr>
      <w:r w:rsidRPr="00B31317">
        <w:rPr>
          <w:rStyle w:val="normaltextrun"/>
          <w:rFonts w:ascii="Arial" w:eastAsia="Times New Roman" w:hAnsi="Arial" w:cs="Arial"/>
          <w:color w:val="000000"/>
          <w:sz w:val="24"/>
          <w:szCs w:val="24"/>
        </w:rPr>
        <w:t>Some households will be eligible for both payments</w:t>
      </w:r>
      <w:r w:rsidR="00F75CB1">
        <w:rPr>
          <w:rStyle w:val="normaltextrun"/>
          <w:rFonts w:ascii="Arial" w:eastAsia="Times New Roman" w:hAnsi="Arial" w:cs="Arial"/>
          <w:color w:val="000000"/>
          <w:sz w:val="24"/>
          <w:szCs w:val="24"/>
        </w:rPr>
        <w:t>. O</w:t>
      </w:r>
      <w:r w:rsidRPr="00B31317">
        <w:rPr>
          <w:rStyle w:val="normaltextrun"/>
          <w:rFonts w:ascii="Arial" w:eastAsia="Times New Roman" w:hAnsi="Arial" w:cs="Arial"/>
          <w:color w:val="000000"/>
          <w:sz w:val="24"/>
          <w:szCs w:val="24"/>
        </w:rPr>
        <w:t>ne example is a park home resident that receives their electricity from their site owner and who uses LPG for heating.</w:t>
      </w:r>
    </w:p>
    <w:p w14:paraId="21C5C02F" w14:textId="6636522E" w:rsidR="0071435F" w:rsidRPr="00B31317" w:rsidRDefault="0071435F" w:rsidP="0071435F">
      <w:pPr>
        <w:rPr>
          <w:rStyle w:val="normaltextrun"/>
          <w:rFonts w:ascii="Arial" w:eastAsia="Times New Roman" w:hAnsi="Arial" w:cs="Arial"/>
          <w:color w:val="000000"/>
          <w:sz w:val="24"/>
          <w:szCs w:val="24"/>
        </w:rPr>
      </w:pPr>
      <w:r w:rsidRPr="00B31317">
        <w:rPr>
          <w:rStyle w:val="normaltextrun"/>
          <w:rFonts w:ascii="Arial" w:eastAsia="Times New Roman" w:hAnsi="Arial" w:cs="Arial"/>
          <w:color w:val="000000" w:themeColor="text1"/>
          <w:sz w:val="24"/>
          <w:szCs w:val="24"/>
        </w:rPr>
        <w:t xml:space="preserve">We have received New Burdens funding to help us meet any additional costs incurred in dealing with these schemes.     </w:t>
      </w:r>
    </w:p>
    <w:p w14:paraId="3A6A9494" w14:textId="77777777" w:rsidR="0071435F" w:rsidRPr="00B31317" w:rsidRDefault="0071435F" w:rsidP="0071435F">
      <w:pPr>
        <w:rPr>
          <w:rStyle w:val="normaltextrun"/>
          <w:rFonts w:ascii="Arial" w:eastAsia="Times New Roman" w:hAnsi="Arial" w:cs="Arial"/>
          <w:color w:val="000000"/>
          <w:sz w:val="24"/>
          <w:szCs w:val="24"/>
        </w:rPr>
      </w:pPr>
      <w:r w:rsidRPr="00B31317">
        <w:rPr>
          <w:rStyle w:val="normaltextrun"/>
          <w:rFonts w:ascii="Arial" w:eastAsia="Times New Roman" w:hAnsi="Arial" w:cs="Arial"/>
          <w:color w:val="000000" w:themeColor="text1"/>
          <w:sz w:val="24"/>
          <w:szCs w:val="24"/>
        </w:rPr>
        <w:t>Now that annual Council Tax billing and preparations for moving to the new Council are behind us, we are starting to make good progress in processing the 3,000 or so applications we have received so far and expect to make a substantial number of payments in early April, with further batches of payments thereafter. For both schemes we have been given a target of validating applications and making payment within 30 working days (6 weeks).</w:t>
      </w:r>
    </w:p>
    <w:p w14:paraId="25D2D2E0" w14:textId="77777777" w:rsidR="0071435F" w:rsidRPr="00B31317" w:rsidRDefault="0071435F" w:rsidP="0071435F">
      <w:pPr>
        <w:rPr>
          <w:rStyle w:val="normaltextrun"/>
          <w:rFonts w:ascii="Arial" w:eastAsia="Times New Roman" w:hAnsi="Arial" w:cs="Arial"/>
          <w:color w:val="000000"/>
          <w:sz w:val="24"/>
          <w:szCs w:val="24"/>
        </w:rPr>
      </w:pPr>
    </w:p>
    <w:p w14:paraId="60FAF7F7" w14:textId="50186680" w:rsidR="0071435F" w:rsidRPr="00B31317" w:rsidRDefault="0071435F" w:rsidP="0071435F">
      <w:pPr>
        <w:rPr>
          <w:rStyle w:val="normaltextrun"/>
          <w:rFonts w:ascii="Arial" w:eastAsia="Times New Roman" w:hAnsi="Arial" w:cs="Arial"/>
          <w:color w:val="000000"/>
          <w:sz w:val="24"/>
          <w:szCs w:val="24"/>
        </w:rPr>
      </w:pPr>
      <w:r w:rsidRPr="00B31317">
        <w:rPr>
          <w:rStyle w:val="normaltextrun"/>
          <w:rFonts w:ascii="Arial" w:eastAsia="Times New Roman" w:hAnsi="Arial" w:cs="Arial"/>
          <w:color w:val="000000"/>
          <w:sz w:val="24"/>
          <w:szCs w:val="24"/>
        </w:rPr>
        <w:t xml:space="preserve">Members of the public should use the following </w:t>
      </w:r>
      <w:r w:rsidRPr="00B31317">
        <w:rPr>
          <w:rStyle w:val="normaltextrun"/>
          <w:rFonts w:ascii="Arial" w:eastAsia="Times New Roman" w:hAnsi="Arial" w:cs="Arial"/>
          <w:b/>
          <w:bCs/>
          <w:color w:val="000000"/>
          <w:sz w:val="24"/>
          <w:szCs w:val="24"/>
        </w:rPr>
        <w:t>government department contact information</w:t>
      </w:r>
      <w:r w:rsidRPr="00B31317">
        <w:rPr>
          <w:rStyle w:val="normaltextrun"/>
          <w:rFonts w:ascii="Arial" w:eastAsia="Times New Roman" w:hAnsi="Arial" w:cs="Arial"/>
          <w:color w:val="000000"/>
          <w:sz w:val="24"/>
          <w:szCs w:val="24"/>
        </w:rPr>
        <w:t xml:space="preserve"> if they have questions or queries about these schemes rather than contact the Council.</w:t>
      </w:r>
    </w:p>
    <w:p w14:paraId="1707B14C" w14:textId="77777777" w:rsidR="0071435F" w:rsidRPr="00B31317" w:rsidRDefault="0071435F" w:rsidP="0071435F">
      <w:pPr>
        <w:rPr>
          <w:rStyle w:val="normaltextrun"/>
          <w:rFonts w:ascii="Arial" w:eastAsia="Times New Roman" w:hAnsi="Arial" w:cs="Arial"/>
          <w:color w:val="000000"/>
          <w:sz w:val="24"/>
          <w:szCs w:val="24"/>
        </w:rPr>
      </w:pPr>
      <w:r w:rsidRPr="00B31317">
        <w:rPr>
          <w:rFonts w:ascii="Arial" w:hAnsi="Arial" w:cs="Arial"/>
          <w:color w:val="0B0C0C"/>
          <w:sz w:val="24"/>
          <w:szCs w:val="24"/>
          <w:shd w:val="clear" w:color="auto" w:fill="FFFFFF"/>
        </w:rPr>
        <w:lastRenderedPageBreak/>
        <w:t>Email: </w:t>
      </w:r>
      <w:hyperlink r:id="rId13" w:history="1">
        <w:r w:rsidRPr="00B31317">
          <w:rPr>
            <w:rStyle w:val="Hyperlink"/>
            <w:rFonts w:ascii="Arial" w:hAnsi="Arial" w:cs="Arial"/>
            <w:color w:val="1D70B8"/>
            <w:sz w:val="24"/>
            <w:szCs w:val="24"/>
            <w:shd w:val="clear" w:color="auto" w:fill="FFFFFF"/>
          </w:rPr>
          <w:t>alternativefunding@ebss.beis.gov.uk</w:t>
        </w:r>
      </w:hyperlink>
      <w:r w:rsidRPr="00B31317">
        <w:rPr>
          <w:rFonts w:ascii="Arial" w:hAnsi="Arial" w:cs="Arial"/>
          <w:color w:val="0B0C0C"/>
          <w:sz w:val="24"/>
          <w:szCs w:val="24"/>
        </w:rPr>
        <w:br/>
      </w:r>
      <w:r w:rsidRPr="00B31317">
        <w:rPr>
          <w:rFonts w:ascii="Arial" w:hAnsi="Arial" w:cs="Arial"/>
          <w:color w:val="0B0C0C"/>
          <w:sz w:val="24"/>
          <w:szCs w:val="24"/>
          <w:shd w:val="clear" w:color="auto" w:fill="FFFFFF"/>
        </w:rPr>
        <w:t>Telephone: 0808 175 3287</w:t>
      </w:r>
      <w:r w:rsidRPr="00B31317">
        <w:rPr>
          <w:rFonts w:ascii="Arial" w:hAnsi="Arial" w:cs="Arial"/>
          <w:color w:val="0B0C0C"/>
          <w:sz w:val="24"/>
          <w:szCs w:val="24"/>
        </w:rPr>
        <w:br/>
      </w:r>
      <w:r w:rsidRPr="00B31317">
        <w:rPr>
          <w:rFonts w:ascii="Arial" w:hAnsi="Arial" w:cs="Arial"/>
          <w:color w:val="0B0C0C"/>
          <w:sz w:val="24"/>
          <w:szCs w:val="24"/>
          <w:shd w:val="clear" w:color="auto" w:fill="FFFFFF"/>
        </w:rPr>
        <w:t>Monday to Friday, 8am to 6pm</w:t>
      </w:r>
    </w:p>
    <w:p w14:paraId="1D298009" w14:textId="77777777" w:rsidR="0071435F" w:rsidRPr="00B31317" w:rsidRDefault="0071435F" w:rsidP="0071435F">
      <w:pPr>
        <w:rPr>
          <w:rStyle w:val="normaltextrun"/>
          <w:rFonts w:ascii="Arial" w:eastAsia="Times New Roman" w:hAnsi="Arial" w:cs="Arial"/>
          <w:color w:val="000000"/>
          <w:sz w:val="24"/>
          <w:szCs w:val="24"/>
        </w:rPr>
      </w:pPr>
      <w:r w:rsidRPr="00B31317">
        <w:rPr>
          <w:rStyle w:val="normaltextrun"/>
          <w:rFonts w:ascii="Arial" w:eastAsia="Times New Roman" w:hAnsi="Arial" w:cs="Arial"/>
          <w:color w:val="000000"/>
          <w:sz w:val="24"/>
          <w:szCs w:val="24"/>
        </w:rPr>
        <w:t xml:space="preserve"> </w:t>
      </w:r>
    </w:p>
    <w:p w14:paraId="0290D359" w14:textId="77777777" w:rsidR="00D36F11" w:rsidRPr="00B31317" w:rsidRDefault="00D36F11" w:rsidP="0071435F">
      <w:pPr>
        <w:tabs>
          <w:tab w:val="left" w:pos="7590"/>
        </w:tabs>
        <w:rPr>
          <w:rFonts w:ascii="Arial" w:hAnsi="Arial" w:cs="Arial"/>
          <w:b/>
          <w:bCs/>
          <w:sz w:val="24"/>
          <w:szCs w:val="24"/>
        </w:rPr>
      </w:pPr>
      <w:bookmarkStart w:id="1" w:name="_Hlk131665823"/>
      <w:bookmarkEnd w:id="0"/>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D36F11" w:rsidRPr="00B31317" w14:paraId="4C948107" w14:textId="77777777" w:rsidTr="00C62400">
        <w:tc>
          <w:tcPr>
            <w:tcW w:w="2448" w:type="dxa"/>
            <w:shd w:val="clear" w:color="auto" w:fill="auto"/>
          </w:tcPr>
          <w:p w14:paraId="0908B8D4" w14:textId="77777777" w:rsidR="00D36F11" w:rsidRPr="00B31317" w:rsidRDefault="00D36F11" w:rsidP="00C62400">
            <w:pPr>
              <w:rPr>
                <w:rFonts w:ascii="Arial" w:eastAsia="Times New Roman" w:hAnsi="Arial" w:cs="Arial"/>
                <w:sz w:val="24"/>
                <w:szCs w:val="24"/>
                <w:lang w:eastAsia="en-GB"/>
              </w:rPr>
            </w:pPr>
            <w:r w:rsidRPr="00B31317">
              <w:rPr>
                <w:rFonts w:ascii="Arial" w:eastAsia="Times New Roman" w:hAnsi="Arial" w:cs="Arial"/>
                <w:sz w:val="24"/>
                <w:szCs w:val="24"/>
                <w:lang w:eastAsia="en-GB"/>
              </w:rPr>
              <w:t xml:space="preserve">For more information please contact: </w:t>
            </w:r>
          </w:p>
          <w:p w14:paraId="2EA75909" w14:textId="77777777" w:rsidR="00D36F11" w:rsidRPr="00B31317" w:rsidRDefault="00D36F11" w:rsidP="00C62400">
            <w:pPr>
              <w:rPr>
                <w:rFonts w:ascii="Arial" w:eastAsia="Times New Roman" w:hAnsi="Arial" w:cs="Arial"/>
                <w:sz w:val="24"/>
                <w:szCs w:val="24"/>
                <w:lang w:eastAsia="en-GB"/>
              </w:rPr>
            </w:pPr>
          </w:p>
        </w:tc>
        <w:tc>
          <w:tcPr>
            <w:tcW w:w="6480" w:type="dxa"/>
            <w:shd w:val="clear" w:color="auto" w:fill="auto"/>
          </w:tcPr>
          <w:p w14:paraId="650F8BB2" w14:textId="3FC85025" w:rsidR="00D36F11" w:rsidRPr="00B31317" w:rsidRDefault="00D36F11" w:rsidP="00C62400">
            <w:pPr>
              <w:rPr>
                <w:rFonts w:ascii="Arial" w:eastAsia="Times New Roman" w:hAnsi="Arial" w:cs="Arial"/>
                <w:sz w:val="24"/>
                <w:szCs w:val="24"/>
                <w:lang w:eastAsia="en-GB"/>
              </w:rPr>
            </w:pPr>
            <w:r w:rsidRPr="00B31317">
              <w:rPr>
                <w:rFonts w:ascii="Arial" w:eastAsia="Times New Roman" w:hAnsi="Arial" w:cs="Arial"/>
                <w:sz w:val="24"/>
                <w:szCs w:val="24"/>
                <w:lang w:eastAsia="en-GB"/>
              </w:rPr>
              <w:t>Name:</w:t>
            </w:r>
            <w:r w:rsidRPr="00B31317">
              <w:rPr>
                <w:rStyle w:val="normaltextrun"/>
                <w:rFonts w:ascii="Arial" w:eastAsia="Times New Roman" w:hAnsi="Arial" w:cs="Arial"/>
                <w:color w:val="000000"/>
                <w:sz w:val="24"/>
                <w:szCs w:val="24"/>
              </w:rPr>
              <w:t xml:space="preserve"> Richard Sealy</w:t>
            </w:r>
          </w:p>
          <w:p w14:paraId="206F09AA" w14:textId="77C7775D" w:rsidR="00D36F11" w:rsidRPr="00B31317" w:rsidRDefault="00D36F11" w:rsidP="00C62400">
            <w:pPr>
              <w:rPr>
                <w:rStyle w:val="Hyperlink"/>
                <w:rFonts w:ascii="Arial" w:eastAsia="Times New Roman" w:hAnsi="Arial" w:cs="Arial"/>
                <w:sz w:val="24"/>
                <w:szCs w:val="24"/>
              </w:rPr>
            </w:pPr>
            <w:r w:rsidRPr="00B31317">
              <w:rPr>
                <w:rFonts w:ascii="Arial" w:eastAsia="Times New Roman" w:hAnsi="Arial" w:cs="Arial"/>
                <w:sz w:val="24"/>
                <w:szCs w:val="24"/>
                <w:lang w:eastAsia="en-GB"/>
              </w:rPr>
              <w:t xml:space="preserve">Email: </w:t>
            </w:r>
            <w:hyperlink r:id="rId14" w:history="1">
              <w:r w:rsidRPr="00B31317">
                <w:rPr>
                  <w:rStyle w:val="Hyperlink"/>
                  <w:rFonts w:ascii="Arial" w:eastAsia="Times New Roman" w:hAnsi="Arial" w:cs="Arial"/>
                  <w:sz w:val="24"/>
                  <w:szCs w:val="24"/>
                </w:rPr>
                <w:t>richard.sealy@somerset.gov.uk</w:t>
              </w:r>
            </w:hyperlink>
          </w:p>
          <w:p w14:paraId="3A3B219F" w14:textId="4B51C4F8" w:rsidR="00D36F11" w:rsidRPr="00B31317" w:rsidRDefault="00D36F11" w:rsidP="00C62400">
            <w:pPr>
              <w:rPr>
                <w:rStyle w:val="Hyperlink"/>
                <w:rFonts w:ascii="Arial" w:eastAsia="Times New Roman" w:hAnsi="Arial" w:cs="Arial"/>
                <w:color w:val="auto"/>
                <w:sz w:val="24"/>
                <w:szCs w:val="24"/>
                <w:u w:val="none"/>
              </w:rPr>
            </w:pPr>
            <w:r w:rsidRPr="00B31317">
              <w:rPr>
                <w:rStyle w:val="Hyperlink"/>
                <w:rFonts w:ascii="Arial" w:eastAsia="Times New Roman" w:hAnsi="Arial" w:cs="Arial"/>
                <w:color w:val="auto"/>
                <w:sz w:val="24"/>
                <w:szCs w:val="24"/>
                <w:u w:val="none"/>
              </w:rPr>
              <w:t>Name</w:t>
            </w:r>
            <w:r w:rsidR="00CF2068" w:rsidRPr="00B31317">
              <w:rPr>
                <w:rStyle w:val="Hyperlink"/>
                <w:rFonts w:ascii="Arial" w:eastAsia="Times New Roman" w:hAnsi="Arial" w:cs="Arial"/>
                <w:color w:val="auto"/>
                <w:sz w:val="24"/>
                <w:szCs w:val="24"/>
                <w:u w:val="none"/>
              </w:rPr>
              <w:t>:</w:t>
            </w:r>
            <w:r w:rsidR="00B31317" w:rsidRPr="00B31317">
              <w:rPr>
                <w:rStyle w:val="Hyperlink"/>
                <w:rFonts w:ascii="Arial" w:eastAsia="Times New Roman" w:hAnsi="Arial" w:cs="Arial"/>
                <w:color w:val="auto"/>
                <w:sz w:val="24"/>
                <w:szCs w:val="24"/>
                <w:u w:val="none"/>
              </w:rPr>
              <w:t xml:space="preserve"> Paul Harding</w:t>
            </w:r>
          </w:p>
          <w:p w14:paraId="1AFE2EB8" w14:textId="403852B1" w:rsidR="00B31317" w:rsidRPr="00B31317" w:rsidRDefault="00B31317" w:rsidP="00C62400">
            <w:pPr>
              <w:rPr>
                <w:rFonts w:ascii="Arial" w:eastAsia="Times New Roman" w:hAnsi="Arial" w:cs="Arial"/>
                <w:color w:val="000000"/>
                <w:sz w:val="24"/>
                <w:szCs w:val="24"/>
                <w:lang w:eastAsia="en-GB"/>
              </w:rPr>
            </w:pPr>
            <w:r w:rsidRPr="00B31317">
              <w:rPr>
                <w:rFonts w:ascii="Arial" w:eastAsia="Times New Roman" w:hAnsi="Arial" w:cs="Arial"/>
                <w:sz w:val="24"/>
                <w:szCs w:val="24"/>
                <w:lang w:eastAsia="en-GB"/>
              </w:rPr>
              <w:t>E</w:t>
            </w:r>
            <w:r w:rsidRPr="00B31317">
              <w:rPr>
                <w:rFonts w:ascii="Arial" w:hAnsi="Arial" w:cs="Arial"/>
                <w:sz w:val="24"/>
                <w:szCs w:val="24"/>
                <w:lang w:eastAsia="en-GB"/>
              </w:rPr>
              <w:t xml:space="preserve">mail: </w:t>
            </w:r>
            <w:hyperlink r:id="rId15" w:history="1">
              <w:r w:rsidRPr="00B31317">
                <w:rPr>
                  <w:rStyle w:val="Hyperlink"/>
                  <w:rFonts w:ascii="Arial" w:eastAsia="Times New Roman" w:hAnsi="Arial" w:cs="Arial"/>
                  <w:sz w:val="24"/>
                  <w:szCs w:val="24"/>
                </w:rPr>
                <w:t>paul.harding@somerset.gov.uk</w:t>
              </w:r>
            </w:hyperlink>
            <w:r w:rsidRPr="00B31317">
              <w:rPr>
                <w:rStyle w:val="normaltextrun"/>
                <w:rFonts w:ascii="Arial" w:eastAsia="Times New Roman" w:hAnsi="Arial" w:cs="Arial"/>
                <w:color w:val="000000"/>
                <w:sz w:val="24"/>
                <w:szCs w:val="24"/>
              </w:rPr>
              <w:t xml:space="preserve">  </w:t>
            </w:r>
          </w:p>
          <w:p w14:paraId="5ED28065" w14:textId="1FA2169C" w:rsidR="00D36F11" w:rsidRPr="00B31317" w:rsidRDefault="00D36F11" w:rsidP="00C62400">
            <w:pPr>
              <w:rPr>
                <w:rFonts w:ascii="Arial" w:eastAsia="Times New Roman" w:hAnsi="Arial" w:cs="Arial"/>
                <w:sz w:val="24"/>
                <w:szCs w:val="24"/>
                <w:lang w:eastAsia="en-GB"/>
              </w:rPr>
            </w:pPr>
          </w:p>
        </w:tc>
      </w:tr>
    </w:tbl>
    <w:bookmarkEnd w:id="1"/>
    <w:p w14:paraId="67D7AAED" w14:textId="48766F18" w:rsidR="0071435F" w:rsidRPr="00B31317" w:rsidRDefault="0071435F" w:rsidP="0071435F">
      <w:pPr>
        <w:tabs>
          <w:tab w:val="left" w:pos="7590"/>
        </w:tabs>
        <w:rPr>
          <w:rFonts w:ascii="Arial" w:hAnsi="Arial" w:cs="Arial"/>
          <w:b/>
          <w:bCs/>
          <w:sz w:val="24"/>
          <w:szCs w:val="24"/>
        </w:rPr>
      </w:pPr>
      <w:r w:rsidRPr="00B31317">
        <w:rPr>
          <w:rFonts w:ascii="Arial" w:hAnsi="Arial" w:cs="Arial"/>
          <w:b/>
          <w:bCs/>
          <w:sz w:val="24"/>
          <w:szCs w:val="24"/>
        </w:rPr>
        <w:tab/>
      </w:r>
    </w:p>
    <w:sectPr w:rsidR="0071435F" w:rsidRPr="00B3131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F7A0" w14:textId="77777777" w:rsidR="001F0FDC" w:rsidRDefault="001F0FDC" w:rsidP="0071435F">
      <w:pPr>
        <w:spacing w:after="0" w:line="240" w:lineRule="auto"/>
      </w:pPr>
      <w:r>
        <w:separator/>
      </w:r>
    </w:p>
  </w:endnote>
  <w:endnote w:type="continuationSeparator" w:id="0">
    <w:p w14:paraId="05E2C691" w14:textId="77777777" w:rsidR="001F0FDC" w:rsidRDefault="001F0FDC" w:rsidP="0071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EC9" w14:textId="5757058E" w:rsidR="0071435F" w:rsidRDefault="0071435F">
    <w:pPr>
      <w:pStyle w:val="Footer"/>
    </w:pPr>
    <w:r>
      <w:rPr>
        <w:rFonts w:ascii="Microsoft New Tai Lue" w:hAnsi="Microsoft New Tai Lue" w:cs="Microsoft New Tai Lue"/>
        <w:b/>
        <w:noProof/>
        <w:color w:val="A91347"/>
      </w:rPr>
      <w:drawing>
        <wp:anchor distT="0" distB="0" distL="114300" distR="114300" simplePos="0" relativeHeight="251666944" behindDoc="1" locked="1" layoutInCell="1" allowOverlap="1" wp14:anchorId="407CEAA2" wp14:editId="4AF4BCDF">
          <wp:simplePos x="0" y="0"/>
          <wp:positionH relativeFrom="column">
            <wp:posOffset>-720725</wp:posOffset>
          </wp:positionH>
          <wp:positionV relativeFrom="page">
            <wp:posOffset>9871710</wp:posOffset>
          </wp:positionV>
          <wp:extent cx="711200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2000"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A8E6" w14:textId="77777777" w:rsidR="001F0FDC" w:rsidRDefault="001F0FDC" w:rsidP="0071435F">
      <w:pPr>
        <w:spacing w:after="0" w:line="240" w:lineRule="auto"/>
      </w:pPr>
      <w:r>
        <w:separator/>
      </w:r>
    </w:p>
  </w:footnote>
  <w:footnote w:type="continuationSeparator" w:id="0">
    <w:p w14:paraId="5D311058" w14:textId="77777777" w:rsidR="001F0FDC" w:rsidRDefault="001F0FDC" w:rsidP="0071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384" w14:textId="77777777" w:rsidR="0071435F" w:rsidRPr="001D1EA9" w:rsidRDefault="0071435F" w:rsidP="0071435F">
    <w:pPr>
      <w:pStyle w:val="Header"/>
      <w:ind w:left="-851" w:firstLine="142"/>
      <w:rPr>
        <w:rStyle w:val="Style8"/>
        <w:color w:val="006072"/>
      </w:rPr>
    </w:pPr>
    <w:r w:rsidRPr="001D1EA9">
      <w:rPr>
        <w:rStyle w:val="Style8"/>
        <w:color w:val="006072"/>
      </w:rPr>
      <w:t>Somerset Council</w:t>
    </w:r>
  </w:p>
  <w:p w14:paraId="2141DC9E" w14:textId="77777777" w:rsidR="0071435F" w:rsidRPr="001D1EA9" w:rsidRDefault="0071435F" w:rsidP="0071435F">
    <w:pPr>
      <w:pStyle w:val="Header"/>
      <w:ind w:left="-851" w:firstLine="142"/>
      <w:rPr>
        <w:rStyle w:val="Style8"/>
        <w:b w:val="0"/>
      </w:rPr>
    </w:pPr>
    <w:r w:rsidRPr="001D1EA9">
      <w:rPr>
        <w:rStyle w:val="Style8"/>
      </w:rPr>
      <w:t>County Hall, Taunton</w:t>
    </w:r>
  </w:p>
  <w:p w14:paraId="76B94ED2" w14:textId="77777777" w:rsidR="0071435F" w:rsidRPr="001D1EA9" w:rsidRDefault="0071435F" w:rsidP="0071435F">
    <w:pPr>
      <w:pStyle w:val="Header"/>
      <w:ind w:left="-851" w:firstLine="142"/>
      <w:rPr>
        <w:rStyle w:val="Style8"/>
        <w:b w:val="0"/>
      </w:rPr>
    </w:pPr>
    <w:r w:rsidRPr="001D1EA9">
      <w:rPr>
        <w:rStyle w:val="Style8"/>
      </w:rPr>
      <w:t>Somerset, TA1 4DY</w:t>
    </w:r>
  </w:p>
  <w:p w14:paraId="6CEA1206" w14:textId="2EC1F0EE" w:rsidR="0071435F" w:rsidRDefault="0071435F" w:rsidP="0071435F">
    <w:pPr>
      <w:pStyle w:val="Header"/>
      <w:tabs>
        <w:tab w:val="right" w:pos="8534"/>
      </w:tabs>
    </w:pPr>
    <w:r>
      <w:tab/>
    </w:r>
    <w:r>
      <w:tab/>
    </w:r>
    <w:r w:rsidRPr="00DD0C45">
      <w:rPr>
        <w:b/>
        <w:noProof/>
        <w:color w:val="C73672"/>
        <w:szCs w:val="16"/>
      </w:rPr>
      <w:drawing>
        <wp:anchor distT="0" distB="0" distL="114300" distR="114300" simplePos="0" relativeHeight="251665920" behindDoc="0" locked="0" layoutInCell="1" allowOverlap="1" wp14:anchorId="4A0C7D59" wp14:editId="5738C466">
          <wp:simplePos x="0" y="0"/>
          <wp:positionH relativeFrom="column">
            <wp:posOffset>5381625</wp:posOffset>
          </wp:positionH>
          <wp:positionV relativeFrom="page">
            <wp:posOffset>114935</wp:posOffset>
          </wp:positionV>
          <wp:extent cx="1093470" cy="1242695"/>
          <wp:effectExtent l="0" t="0" r="0" b="0"/>
          <wp:wrapThrough wrapText="bothSides">
            <wp:wrapPolygon edited="0">
              <wp:start x="7150" y="1324"/>
              <wp:lineTo x="3010" y="6291"/>
              <wp:lineTo x="3010" y="7616"/>
              <wp:lineTo x="5268" y="12583"/>
              <wp:lineTo x="1882" y="14238"/>
              <wp:lineTo x="1882" y="16556"/>
              <wp:lineTo x="4892" y="17880"/>
              <wp:lineTo x="5268" y="19867"/>
              <wp:lineTo x="16557" y="19867"/>
              <wp:lineTo x="16181" y="17880"/>
              <wp:lineTo x="19568" y="16556"/>
              <wp:lineTo x="19192" y="14238"/>
              <wp:lineTo x="15429" y="12583"/>
              <wp:lineTo x="18439" y="6954"/>
              <wp:lineTo x="16557" y="5298"/>
              <wp:lineTo x="10537" y="1324"/>
              <wp:lineTo x="7150" y="1324"/>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D4118"/>
    <w:multiLevelType w:val="hybridMultilevel"/>
    <w:tmpl w:val="FEA4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040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F"/>
    <w:rsid w:val="001F0FDC"/>
    <w:rsid w:val="001F37B6"/>
    <w:rsid w:val="002F66A4"/>
    <w:rsid w:val="005504D1"/>
    <w:rsid w:val="0071435F"/>
    <w:rsid w:val="008B21BD"/>
    <w:rsid w:val="009E4A69"/>
    <w:rsid w:val="00B24447"/>
    <w:rsid w:val="00B31317"/>
    <w:rsid w:val="00B661F4"/>
    <w:rsid w:val="00CC08D4"/>
    <w:rsid w:val="00CF2068"/>
    <w:rsid w:val="00D144DA"/>
    <w:rsid w:val="00D36F11"/>
    <w:rsid w:val="00D43781"/>
    <w:rsid w:val="00E07A2F"/>
    <w:rsid w:val="00F2298E"/>
    <w:rsid w:val="00F46E90"/>
    <w:rsid w:val="00F75CB1"/>
    <w:rsid w:val="00F76A6F"/>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257"/>
  <w15:chartTrackingRefBased/>
  <w15:docId w15:val="{E0FBAB7E-D3A2-4F5F-BB3F-478B028E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35F"/>
  </w:style>
  <w:style w:type="paragraph" w:styleId="Footer">
    <w:name w:val="footer"/>
    <w:basedOn w:val="Normal"/>
    <w:link w:val="FooterChar"/>
    <w:uiPriority w:val="99"/>
    <w:unhideWhenUsed/>
    <w:rsid w:val="007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5F"/>
  </w:style>
  <w:style w:type="character" w:customStyle="1" w:styleId="Style8">
    <w:name w:val="Style8"/>
    <w:basedOn w:val="DefaultParagraphFont"/>
    <w:uiPriority w:val="1"/>
    <w:rsid w:val="0071435F"/>
    <w:rPr>
      <w:rFonts w:ascii="Arial" w:hAnsi="Arial"/>
      <w:b/>
      <w:color w:val="A91347"/>
      <w:sz w:val="24"/>
    </w:rPr>
  </w:style>
  <w:style w:type="table" w:styleId="TableGrid">
    <w:name w:val="Table Grid"/>
    <w:basedOn w:val="TableNormal"/>
    <w:uiPriority w:val="39"/>
    <w:rsid w:val="0071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35F"/>
    <w:rPr>
      <w:color w:val="0563C1" w:themeColor="hyperlink"/>
      <w:u w:val="single"/>
    </w:rPr>
  </w:style>
  <w:style w:type="paragraph" w:customStyle="1" w:styleId="paragraph">
    <w:name w:val="paragraph"/>
    <w:basedOn w:val="Normal"/>
    <w:rsid w:val="0071435F"/>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71435F"/>
  </w:style>
  <w:style w:type="character" w:customStyle="1" w:styleId="eop">
    <w:name w:val="eop"/>
    <w:basedOn w:val="DefaultParagraphFont"/>
    <w:rsid w:val="007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ternativefunding@ebss.bei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apply-alternative-fuel-bill-support-if-not-automat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apply-energy-bill-support-if-not-automatic" TargetMode="External"/><Relationship Id="rId5" Type="http://schemas.openxmlformats.org/officeDocument/2006/relationships/numbering" Target="numbering.xml"/><Relationship Id="rId15" Type="http://schemas.openxmlformats.org/officeDocument/2006/relationships/hyperlink" Target="mailto:paul.harding@somerset.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sealy@somerset.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972B4-2ACB-43B0-86D0-39B88B6B771A}">
  <ds:schemaRefs>
    <ds:schemaRef ds:uri="http://schemas.microsoft.com/office/2006/metadata/properties"/>
    <ds:schemaRef ds:uri="http://schemas.microsoft.com/office/infopath/2007/PartnerControls"/>
    <ds:schemaRef ds:uri="d0e245b1-c3a5-48de-b38a-7f8c8bd9059a"/>
  </ds:schemaRefs>
</ds:datastoreItem>
</file>

<file path=customXml/itemProps2.xml><?xml version="1.0" encoding="utf-8"?>
<ds:datastoreItem xmlns:ds="http://schemas.openxmlformats.org/officeDocument/2006/customXml" ds:itemID="{EE37CA6A-C3DC-48D0-88AB-70FC7EF4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64370-B131-48D5-920D-983ECC29B521}">
  <ds:schemaRefs>
    <ds:schemaRef ds:uri="Microsoft.SharePoint.Taxonomy.ContentTypeSync"/>
  </ds:schemaRefs>
</ds:datastoreItem>
</file>

<file path=customXml/itemProps4.xml><?xml version="1.0" encoding="utf-8"?>
<ds:datastoreItem xmlns:ds="http://schemas.openxmlformats.org/officeDocument/2006/customXml" ds:itemID="{DE74507F-5B4E-461E-822B-56E6D7FF7793}">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12</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Hallows</dc:creator>
  <cp:keywords/>
  <dc:description/>
  <cp:lastModifiedBy>Jonathan Hallows</cp:lastModifiedBy>
  <cp:revision>9</cp:revision>
  <dcterms:created xsi:type="dcterms:W3CDTF">2023-04-05T10:23:00Z</dcterms:created>
  <dcterms:modified xsi:type="dcterms:W3CDTF">2023-04-06T08:30:00Z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