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7508" w14:textId="08BC8CCE" w:rsidR="00E07A2F" w:rsidRDefault="00E07A2F"/>
    <w:p w14:paraId="2B4664D0" w14:textId="77777777" w:rsidR="0071435F" w:rsidRDefault="0071435F" w:rsidP="0071435F">
      <w:pPr>
        <w:tabs>
          <w:tab w:val="left" w:pos="7590"/>
        </w:tabs>
        <w:rPr>
          <w:rFonts w:ascii="Atkinson Hyperlegible" w:hAnsi="Atkinson Hyperlegible"/>
          <w:b/>
          <w:bCs/>
          <w:sz w:val="72"/>
          <w:szCs w:val="72"/>
        </w:rPr>
      </w:pPr>
      <w:r w:rsidRPr="0071435F">
        <w:rPr>
          <w:rFonts w:ascii="Atkinson Hyperlegible" w:hAnsi="Atkinson Hyperlegible"/>
          <w:b/>
          <w:bCs/>
          <w:noProof/>
          <w:sz w:val="72"/>
          <w:szCs w:val="72"/>
        </w:rPr>
        <mc:AlternateContent>
          <mc:Choice Requires="wps">
            <w:drawing>
              <wp:anchor distT="0" distB="0" distL="114300" distR="114300" simplePos="0" relativeHeight="251658240" behindDoc="0" locked="0" layoutInCell="1" allowOverlap="1" wp14:anchorId="1E3FA90D" wp14:editId="7BD773B8">
                <wp:simplePos x="0" y="0"/>
                <wp:positionH relativeFrom="column">
                  <wp:posOffset>4933950</wp:posOffset>
                </wp:positionH>
                <wp:positionV relativeFrom="paragraph">
                  <wp:posOffset>6985</wp:posOffset>
                </wp:positionV>
                <wp:extent cx="14573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33425"/>
                        </a:xfrm>
                        <a:prstGeom prst="rect">
                          <a:avLst/>
                        </a:prstGeom>
                        <a:solidFill>
                          <a:srgbClr val="FFFFFF"/>
                        </a:solidFill>
                        <a:ln w="9525">
                          <a:solidFill>
                            <a:srgbClr val="000000"/>
                          </a:solidFill>
                          <a:miter lim="800000"/>
                          <a:headEnd/>
                          <a:tailEnd/>
                        </a:ln>
                      </wps:spPr>
                      <wps:txbx>
                        <w:txbxContent>
                          <w:p w14:paraId="64ED7A0A" w14:textId="77777777" w:rsidR="0071435F" w:rsidRDefault="0071435F" w:rsidP="0071435F">
                            <w:r>
                              <w:t>Sheet Number:</w:t>
                            </w:r>
                          </w:p>
                          <w:p w14:paraId="056FC4A7" w14:textId="28E68DB1" w:rsidR="0071435F" w:rsidRPr="00281DA6" w:rsidRDefault="0071435F" w:rsidP="0071435F">
                            <w:pPr>
                              <w:rPr>
                                <w:color w:val="000000"/>
                                <w:sz w:val="32"/>
                                <w:szCs w:val="32"/>
                              </w:rPr>
                            </w:pPr>
                            <w:r w:rsidRPr="00281DA6">
                              <w:rPr>
                                <w:color w:val="000000"/>
                                <w:sz w:val="32"/>
                                <w:szCs w:val="32"/>
                              </w:rPr>
                              <w:t>20</w:t>
                            </w:r>
                            <w:r>
                              <w:rPr>
                                <w:color w:val="000000"/>
                                <w:sz w:val="32"/>
                                <w:szCs w:val="32"/>
                              </w:rPr>
                              <w:t>22</w:t>
                            </w:r>
                            <w:r w:rsidRPr="00281DA6">
                              <w:rPr>
                                <w:color w:val="000000"/>
                                <w:sz w:val="32"/>
                                <w:szCs w:val="32"/>
                              </w:rPr>
                              <w:t>-</w:t>
                            </w:r>
                            <w:r>
                              <w:rPr>
                                <w:color w:val="000000"/>
                                <w:sz w:val="32"/>
                                <w:szCs w:val="32"/>
                              </w:rPr>
                              <w:t>27</w:t>
                            </w:r>
                            <w:r w:rsidR="009E4A69">
                              <w:rPr>
                                <w:color w:val="000000"/>
                                <w:sz w:val="32"/>
                                <w:szCs w:val="32"/>
                              </w:rPr>
                              <w:t>/</w:t>
                            </w:r>
                            <w:r w:rsidR="00830098">
                              <w:rPr>
                                <w:color w:val="000000"/>
                                <w:sz w:val="32"/>
                                <w:szCs w:val="32"/>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A90D" id="_x0000_t202" coordsize="21600,21600" o:spt="202" path="m,l,21600r21600,l21600,xe">
                <v:stroke joinstyle="miter"/>
                <v:path gradientshapeok="t" o:connecttype="rect"/>
              </v:shapetype>
              <v:shape id="Text Box 1" o:spid="_x0000_s1026" type="#_x0000_t202" style="position:absolute;margin-left:388.5pt;margin-top:.55pt;width:114.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">
                <v:textbox>
                  <w:txbxContent>
                    <w:p w14:paraId="64ED7A0A" w14:textId="77777777" w:rsidR="0071435F" w:rsidRDefault="0071435F" w:rsidP="0071435F">
                      <w:r>
                        <w:t>Sheet Number:</w:t>
                      </w:r>
                    </w:p>
                    <w:p w14:paraId="056FC4A7" w14:textId="28E68DB1" w:rsidR="0071435F" w:rsidRPr="00281DA6" w:rsidRDefault="0071435F" w:rsidP="0071435F">
                      <w:pPr>
                        <w:rPr>
                          <w:color w:val="000000"/>
                          <w:sz w:val="32"/>
                          <w:szCs w:val="32"/>
                        </w:rPr>
                      </w:pPr>
                      <w:r w:rsidRPr="00281DA6">
                        <w:rPr>
                          <w:color w:val="000000"/>
                          <w:sz w:val="32"/>
                          <w:szCs w:val="32"/>
                        </w:rPr>
                        <w:t>20</w:t>
                      </w:r>
                      <w:r>
                        <w:rPr>
                          <w:color w:val="000000"/>
                          <w:sz w:val="32"/>
                          <w:szCs w:val="32"/>
                        </w:rPr>
                        <w:t>22</w:t>
                      </w:r>
                      <w:r w:rsidRPr="00281DA6">
                        <w:rPr>
                          <w:color w:val="000000"/>
                          <w:sz w:val="32"/>
                          <w:szCs w:val="32"/>
                        </w:rPr>
                        <w:t>-</w:t>
                      </w:r>
                      <w:r>
                        <w:rPr>
                          <w:color w:val="000000"/>
                          <w:sz w:val="32"/>
                          <w:szCs w:val="32"/>
                        </w:rPr>
                        <w:t>27</w:t>
                      </w:r>
                      <w:r w:rsidR="009E4A69">
                        <w:rPr>
                          <w:color w:val="000000"/>
                          <w:sz w:val="32"/>
                          <w:szCs w:val="32"/>
                        </w:rPr>
                        <w:t>/</w:t>
                      </w:r>
                      <w:r w:rsidR="00830098">
                        <w:rPr>
                          <w:color w:val="000000"/>
                          <w:sz w:val="32"/>
                          <w:szCs w:val="32"/>
                        </w:rPr>
                        <w:t>52</w:t>
                      </w:r>
                    </w:p>
                  </w:txbxContent>
                </v:textbox>
                <w10:wrap type="square"/>
              </v:shape>
            </w:pict>
          </mc:Fallback>
        </mc:AlternateContent>
      </w:r>
      <w:r w:rsidRPr="0071435F">
        <w:rPr>
          <w:rFonts w:ascii="Atkinson Hyperlegible" w:hAnsi="Atkinson Hyperlegible"/>
          <w:b/>
          <w:bCs/>
          <w:sz w:val="72"/>
          <w:szCs w:val="72"/>
        </w:rPr>
        <w:t>Information for Unitary Councillors</w:t>
      </w:r>
    </w:p>
    <w:tbl>
      <w:tblPr>
        <w:tblStyle w:val="TableGrid"/>
        <w:tblW w:w="0" w:type="auto"/>
        <w:tblLook w:val="04A0" w:firstRow="1" w:lastRow="0" w:firstColumn="1" w:lastColumn="0" w:noHBand="0" w:noVBand="1"/>
      </w:tblPr>
      <w:tblGrid>
        <w:gridCol w:w="1555"/>
        <w:gridCol w:w="7461"/>
      </w:tblGrid>
      <w:tr w:rsidR="0071435F" w14:paraId="7FD4E8F1" w14:textId="77777777" w:rsidTr="0071435F">
        <w:tc>
          <w:tcPr>
            <w:tcW w:w="1555" w:type="dxa"/>
          </w:tcPr>
          <w:p w14:paraId="334305BB" w14:textId="090F092A" w:rsidR="0071435F" w:rsidRDefault="0071435F" w:rsidP="0071435F">
            <w:pPr>
              <w:tabs>
                <w:tab w:val="left" w:pos="7590"/>
              </w:tabs>
              <w:rPr>
                <w:rFonts w:ascii="Atkinson Hyperlegible" w:hAnsi="Atkinson Hyperlegible"/>
                <w:b/>
                <w:bCs/>
              </w:rPr>
            </w:pPr>
            <w:r>
              <w:rPr>
                <w:rFonts w:ascii="Atkinson Hyperlegible" w:hAnsi="Atkinson Hyperlegible"/>
                <w:b/>
                <w:bCs/>
              </w:rPr>
              <w:t>From:</w:t>
            </w:r>
          </w:p>
        </w:tc>
        <w:tc>
          <w:tcPr>
            <w:tcW w:w="7461" w:type="dxa"/>
          </w:tcPr>
          <w:p w14:paraId="2D3FB379" w14:textId="789ACF27" w:rsidR="0071435F" w:rsidRDefault="006020A0" w:rsidP="0071435F">
            <w:pPr>
              <w:tabs>
                <w:tab w:val="left" w:pos="7590"/>
              </w:tabs>
              <w:rPr>
                <w:rFonts w:ascii="Atkinson Hyperlegible" w:hAnsi="Atkinson Hyperlegible"/>
                <w:b/>
                <w:bCs/>
              </w:rPr>
            </w:pPr>
            <w:r>
              <w:rPr>
                <w:rFonts w:ascii="Atkinson Hyperlegible" w:hAnsi="Atkinson Hyperlegible"/>
                <w:b/>
                <w:bCs/>
              </w:rPr>
              <w:t>Tess Bond – Senior Planning Officer, Major Programmes</w:t>
            </w:r>
          </w:p>
        </w:tc>
      </w:tr>
    </w:tbl>
    <w:p w14:paraId="314A540E"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980"/>
        <w:gridCol w:w="7036"/>
      </w:tblGrid>
      <w:tr w:rsidR="0071435F" w14:paraId="0962386D" w14:textId="77777777" w:rsidTr="0071435F">
        <w:tc>
          <w:tcPr>
            <w:tcW w:w="1980" w:type="dxa"/>
          </w:tcPr>
          <w:p w14:paraId="76E0C477" w14:textId="7580C0C5" w:rsidR="0071435F" w:rsidRDefault="0071435F" w:rsidP="0071435F">
            <w:pPr>
              <w:tabs>
                <w:tab w:val="left" w:pos="7590"/>
              </w:tabs>
              <w:rPr>
                <w:rFonts w:ascii="Atkinson Hyperlegible" w:hAnsi="Atkinson Hyperlegible"/>
                <w:b/>
                <w:bCs/>
              </w:rPr>
            </w:pPr>
            <w:r>
              <w:rPr>
                <w:rFonts w:ascii="Atkinson Hyperlegible" w:hAnsi="Atkinson Hyperlegible"/>
                <w:b/>
                <w:bCs/>
              </w:rPr>
              <w:t xml:space="preserve">Relevant </w:t>
            </w:r>
            <w:r w:rsidR="005504D1">
              <w:rPr>
                <w:rFonts w:ascii="Atkinson Hyperlegible" w:hAnsi="Atkinson Hyperlegible"/>
                <w:b/>
                <w:bCs/>
              </w:rPr>
              <w:t>E</w:t>
            </w:r>
            <w:r>
              <w:rPr>
                <w:rFonts w:ascii="Atkinson Hyperlegible" w:hAnsi="Atkinson Hyperlegible"/>
                <w:b/>
                <w:bCs/>
              </w:rPr>
              <w:t>LT Director and sign-off date:</w:t>
            </w:r>
          </w:p>
        </w:tc>
        <w:tc>
          <w:tcPr>
            <w:tcW w:w="7036" w:type="dxa"/>
          </w:tcPr>
          <w:p w14:paraId="2B5F993F" w14:textId="77777777" w:rsidR="0071435F" w:rsidRDefault="006020A0" w:rsidP="0071435F">
            <w:pPr>
              <w:tabs>
                <w:tab w:val="left" w:pos="7590"/>
              </w:tabs>
              <w:rPr>
                <w:rFonts w:ascii="Atkinson Hyperlegible" w:hAnsi="Atkinson Hyperlegible"/>
                <w:b/>
                <w:bCs/>
              </w:rPr>
            </w:pPr>
            <w:r>
              <w:rPr>
                <w:rFonts w:ascii="Atkinson Hyperlegible" w:hAnsi="Atkinson Hyperlegible"/>
                <w:b/>
                <w:bCs/>
              </w:rPr>
              <w:t>Paul Hickson</w:t>
            </w:r>
          </w:p>
          <w:p w14:paraId="6B8D88EF" w14:textId="77777777" w:rsidR="006020A0" w:rsidRDefault="00DD6339" w:rsidP="0071435F">
            <w:pPr>
              <w:tabs>
                <w:tab w:val="left" w:pos="7590"/>
              </w:tabs>
              <w:rPr>
                <w:rFonts w:ascii="Atkinson Hyperlegible" w:hAnsi="Atkinson Hyperlegible"/>
                <w:b/>
                <w:bCs/>
              </w:rPr>
            </w:pPr>
            <w:r>
              <w:rPr>
                <w:rFonts w:ascii="Atkinson Hyperlegible" w:hAnsi="Atkinson Hyperlegible"/>
                <w:b/>
                <w:bCs/>
              </w:rPr>
              <w:t>Service Director – Economy, Employment and Planning</w:t>
            </w:r>
          </w:p>
          <w:p w14:paraId="27DDF73A" w14:textId="2FF8DFEC" w:rsidR="00DE71FC" w:rsidRDefault="00E93BD9" w:rsidP="0071435F">
            <w:pPr>
              <w:tabs>
                <w:tab w:val="left" w:pos="7590"/>
              </w:tabs>
              <w:rPr>
                <w:rFonts w:ascii="Atkinson Hyperlegible" w:hAnsi="Atkinson Hyperlegible"/>
                <w:b/>
                <w:bCs/>
              </w:rPr>
            </w:pPr>
            <w:r>
              <w:rPr>
                <w:rFonts w:ascii="Atkinson Hyperlegible" w:hAnsi="Atkinson Hyperlegible"/>
                <w:b/>
                <w:bCs/>
              </w:rPr>
              <w:t>23 May 2023</w:t>
            </w:r>
          </w:p>
        </w:tc>
      </w:tr>
    </w:tbl>
    <w:p w14:paraId="32042C72"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64557AB" w14:textId="77777777" w:rsidTr="0071435F">
        <w:tc>
          <w:tcPr>
            <w:tcW w:w="1696" w:type="dxa"/>
          </w:tcPr>
          <w:p w14:paraId="612871D5" w14:textId="1226E8F8" w:rsidR="0071435F" w:rsidRDefault="0071435F" w:rsidP="0071435F">
            <w:pPr>
              <w:tabs>
                <w:tab w:val="left" w:pos="7590"/>
              </w:tabs>
              <w:rPr>
                <w:rFonts w:ascii="Atkinson Hyperlegible" w:hAnsi="Atkinson Hyperlegible"/>
                <w:b/>
                <w:bCs/>
              </w:rPr>
            </w:pPr>
            <w:r>
              <w:rPr>
                <w:rFonts w:ascii="Atkinson Hyperlegible" w:hAnsi="Atkinson Hyperlegible"/>
                <w:b/>
                <w:bCs/>
              </w:rPr>
              <w:t>Date:</w:t>
            </w:r>
          </w:p>
        </w:tc>
        <w:tc>
          <w:tcPr>
            <w:tcW w:w="7320" w:type="dxa"/>
          </w:tcPr>
          <w:p w14:paraId="67A3E998" w14:textId="4A35DF55" w:rsidR="0071435F" w:rsidRDefault="00DE71FC" w:rsidP="0071435F">
            <w:pPr>
              <w:tabs>
                <w:tab w:val="left" w:pos="7590"/>
              </w:tabs>
              <w:rPr>
                <w:rFonts w:ascii="Atkinson Hyperlegible" w:hAnsi="Atkinson Hyperlegible"/>
                <w:b/>
                <w:bCs/>
              </w:rPr>
            </w:pPr>
            <w:r>
              <w:rPr>
                <w:rFonts w:ascii="Atkinson Hyperlegible" w:hAnsi="Atkinson Hyperlegible"/>
                <w:b/>
                <w:bCs/>
              </w:rPr>
              <w:t>2</w:t>
            </w:r>
            <w:r w:rsidR="00830098">
              <w:rPr>
                <w:rFonts w:ascii="Atkinson Hyperlegible" w:hAnsi="Atkinson Hyperlegible"/>
                <w:b/>
                <w:bCs/>
              </w:rPr>
              <w:t>5</w:t>
            </w:r>
            <w:r>
              <w:rPr>
                <w:rFonts w:ascii="Atkinson Hyperlegible" w:hAnsi="Atkinson Hyperlegible"/>
                <w:b/>
                <w:bCs/>
              </w:rPr>
              <w:t xml:space="preserve"> May 2023</w:t>
            </w:r>
          </w:p>
        </w:tc>
      </w:tr>
    </w:tbl>
    <w:p w14:paraId="637FE49A"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4BAFA28" w14:textId="77777777" w:rsidTr="0071435F">
        <w:tc>
          <w:tcPr>
            <w:tcW w:w="1696" w:type="dxa"/>
          </w:tcPr>
          <w:p w14:paraId="3214C4D8" w14:textId="097600D7" w:rsidR="0071435F" w:rsidRDefault="0071435F" w:rsidP="0071435F">
            <w:pPr>
              <w:tabs>
                <w:tab w:val="left" w:pos="7590"/>
              </w:tabs>
              <w:rPr>
                <w:rFonts w:ascii="Atkinson Hyperlegible" w:hAnsi="Atkinson Hyperlegible"/>
                <w:b/>
                <w:bCs/>
              </w:rPr>
            </w:pPr>
            <w:r>
              <w:rPr>
                <w:rFonts w:ascii="Atkinson Hyperlegible" w:hAnsi="Atkinson Hyperlegible"/>
                <w:b/>
                <w:bCs/>
              </w:rPr>
              <w:t>To:</w:t>
            </w:r>
          </w:p>
        </w:tc>
        <w:tc>
          <w:tcPr>
            <w:tcW w:w="7320" w:type="dxa"/>
          </w:tcPr>
          <w:p w14:paraId="61D0723A" w14:textId="754DE810" w:rsidR="0071435F" w:rsidRDefault="0071435F" w:rsidP="0071435F">
            <w:pPr>
              <w:tabs>
                <w:tab w:val="left" w:pos="7590"/>
              </w:tabs>
              <w:rPr>
                <w:rFonts w:ascii="Atkinson Hyperlegible" w:hAnsi="Atkinson Hyperlegible"/>
                <w:b/>
                <w:bCs/>
              </w:rPr>
            </w:pPr>
            <w:r>
              <w:rPr>
                <w:rFonts w:ascii="Atkinson Hyperlegible" w:hAnsi="Atkinson Hyperlegible"/>
                <w:b/>
                <w:bCs/>
              </w:rPr>
              <w:t xml:space="preserve">All Unitary Councillors </w:t>
            </w:r>
          </w:p>
        </w:tc>
      </w:tr>
    </w:tbl>
    <w:p w14:paraId="0E79B835" w14:textId="4D07911E" w:rsidR="0071435F" w:rsidRDefault="0071435F" w:rsidP="0071435F">
      <w:pPr>
        <w:tabs>
          <w:tab w:val="left" w:pos="7590"/>
        </w:tabs>
        <w:rPr>
          <w:rFonts w:ascii="Atkinson Hyperlegible" w:hAnsi="Atkinson Hyperlegible"/>
          <w:b/>
          <w:bCs/>
        </w:rPr>
      </w:pPr>
    </w:p>
    <w:p w14:paraId="1D298009" w14:textId="3F23FADB" w:rsidR="0071435F" w:rsidRDefault="0071435F" w:rsidP="0071435F">
      <w:pPr>
        <w:rPr>
          <w:rFonts w:ascii="Atkinson Hyperlegible" w:hAnsi="Atkinson Hyperlegible"/>
          <w:b/>
          <w:bCs/>
          <w:sz w:val="56"/>
          <w:szCs w:val="56"/>
        </w:rPr>
      </w:pPr>
      <w:bookmarkStart w:id="0" w:name="_MailAutoSig"/>
    </w:p>
    <w:p w14:paraId="625B7A8C" w14:textId="77777777" w:rsidR="00DC5D07" w:rsidRPr="00B31317" w:rsidRDefault="00DC5D07" w:rsidP="0071435F">
      <w:pPr>
        <w:rPr>
          <w:rStyle w:val="normaltextrun"/>
          <w:rFonts w:ascii="Arial" w:eastAsia="Times New Roman" w:hAnsi="Arial" w:cs="Arial"/>
          <w:color w:val="000000"/>
          <w:sz w:val="24"/>
          <w:szCs w:val="24"/>
        </w:rPr>
      </w:pPr>
    </w:p>
    <w:bookmarkEnd w:id="0"/>
    <w:p w14:paraId="0290D359" w14:textId="77777777" w:rsidR="00D36F11" w:rsidRPr="00B31317" w:rsidRDefault="00D36F11" w:rsidP="0071435F">
      <w:pPr>
        <w:tabs>
          <w:tab w:val="left" w:pos="7590"/>
        </w:tabs>
        <w:rPr>
          <w:rFonts w:ascii="Arial" w:hAnsi="Arial" w:cs="Arial"/>
          <w:b/>
          <w:bCs/>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D36F11" w:rsidRPr="00B31317" w14:paraId="4C948107" w14:textId="77777777" w:rsidTr="00C62400">
        <w:tc>
          <w:tcPr>
            <w:tcW w:w="2448" w:type="dxa"/>
            <w:shd w:val="clear" w:color="auto" w:fill="auto"/>
          </w:tcPr>
          <w:p w14:paraId="0908B8D4" w14:textId="77777777" w:rsidR="00D36F11" w:rsidRPr="00B31317" w:rsidRDefault="00D36F11" w:rsidP="00C62400">
            <w:pPr>
              <w:rPr>
                <w:rFonts w:ascii="Arial" w:eastAsia="Times New Roman" w:hAnsi="Arial" w:cs="Arial"/>
                <w:sz w:val="24"/>
                <w:szCs w:val="24"/>
                <w:lang w:eastAsia="en-GB"/>
              </w:rPr>
            </w:pPr>
            <w:r w:rsidRPr="00B31317">
              <w:rPr>
                <w:rFonts w:ascii="Arial" w:eastAsia="Times New Roman" w:hAnsi="Arial" w:cs="Arial"/>
                <w:sz w:val="24"/>
                <w:szCs w:val="24"/>
                <w:lang w:eastAsia="en-GB"/>
              </w:rPr>
              <w:t xml:space="preserve">For more information please contact: </w:t>
            </w:r>
          </w:p>
          <w:p w14:paraId="2EA75909" w14:textId="77777777" w:rsidR="00D36F11" w:rsidRPr="00B31317" w:rsidRDefault="00D36F11" w:rsidP="00C62400">
            <w:pPr>
              <w:rPr>
                <w:rFonts w:ascii="Arial" w:eastAsia="Times New Roman" w:hAnsi="Arial" w:cs="Arial"/>
                <w:sz w:val="24"/>
                <w:szCs w:val="24"/>
                <w:lang w:eastAsia="en-GB"/>
              </w:rPr>
            </w:pPr>
          </w:p>
        </w:tc>
        <w:tc>
          <w:tcPr>
            <w:tcW w:w="6480" w:type="dxa"/>
            <w:shd w:val="clear" w:color="auto" w:fill="auto"/>
          </w:tcPr>
          <w:p w14:paraId="0D7867A5" w14:textId="77777777" w:rsidR="004D4818" w:rsidRDefault="00D36F11" w:rsidP="00C62400">
            <w:pPr>
              <w:rPr>
                <w:rStyle w:val="normaltextrun"/>
                <w:rFonts w:ascii="Arial" w:eastAsia="Times New Roman" w:hAnsi="Arial" w:cs="Arial"/>
                <w:color w:val="000000"/>
                <w:sz w:val="24"/>
                <w:szCs w:val="24"/>
              </w:rPr>
            </w:pPr>
            <w:r w:rsidRPr="00B31317">
              <w:rPr>
                <w:rFonts w:ascii="Arial" w:eastAsia="Times New Roman" w:hAnsi="Arial" w:cs="Arial"/>
                <w:sz w:val="24"/>
                <w:szCs w:val="24"/>
                <w:lang w:eastAsia="en-GB"/>
              </w:rPr>
              <w:t>Name:</w:t>
            </w:r>
            <w:r w:rsidRPr="00B31317">
              <w:rPr>
                <w:rStyle w:val="normaltextrun"/>
                <w:rFonts w:ascii="Arial" w:eastAsia="Times New Roman" w:hAnsi="Arial" w:cs="Arial"/>
                <w:color w:val="000000"/>
                <w:sz w:val="24"/>
                <w:szCs w:val="24"/>
              </w:rPr>
              <w:t xml:space="preserve"> </w:t>
            </w:r>
            <w:r w:rsidR="00DE71FC">
              <w:rPr>
                <w:rStyle w:val="normaltextrun"/>
                <w:rFonts w:ascii="Arial" w:eastAsia="Times New Roman" w:hAnsi="Arial" w:cs="Arial"/>
                <w:color w:val="000000"/>
                <w:sz w:val="24"/>
                <w:szCs w:val="24"/>
              </w:rPr>
              <w:t>Tess Bond</w:t>
            </w:r>
          </w:p>
          <w:p w14:paraId="5ED28065" w14:textId="281FC300" w:rsidR="00D36F11" w:rsidRPr="00B31317" w:rsidRDefault="00D36F11" w:rsidP="00602348">
            <w:pPr>
              <w:rPr>
                <w:rFonts w:ascii="Arial" w:eastAsia="Times New Roman" w:hAnsi="Arial" w:cs="Arial"/>
                <w:sz w:val="24"/>
                <w:szCs w:val="24"/>
                <w:lang w:eastAsia="en-GB"/>
              </w:rPr>
            </w:pPr>
            <w:r w:rsidRPr="00B31317">
              <w:rPr>
                <w:rFonts w:ascii="Arial" w:eastAsia="Times New Roman" w:hAnsi="Arial" w:cs="Arial"/>
                <w:sz w:val="24"/>
                <w:szCs w:val="24"/>
                <w:lang w:eastAsia="en-GB"/>
              </w:rPr>
              <w:t xml:space="preserve">Email: </w:t>
            </w:r>
            <w:r w:rsidR="004D4818">
              <w:rPr>
                <w:rFonts w:ascii="Arial" w:eastAsia="Times New Roman" w:hAnsi="Arial" w:cs="Arial"/>
                <w:sz w:val="24"/>
                <w:szCs w:val="24"/>
                <w:lang w:eastAsia="en-GB"/>
              </w:rPr>
              <w:t>Tessa.bond@somerset.gov.uk</w:t>
            </w:r>
          </w:p>
        </w:tc>
      </w:tr>
    </w:tbl>
    <w:p w14:paraId="46D586B6" w14:textId="77777777" w:rsidR="00602348" w:rsidRDefault="00602348" w:rsidP="0071435F">
      <w:pPr>
        <w:tabs>
          <w:tab w:val="left" w:pos="7590"/>
        </w:tabs>
        <w:rPr>
          <w:rFonts w:ascii="Arial" w:hAnsi="Arial" w:cs="Arial"/>
          <w:b/>
          <w:bCs/>
          <w:sz w:val="24"/>
          <w:szCs w:val="24"/>
        </w:rPr>
      </w:pPr>
    </w:p>
    <w:p w14:paraId="27665386" w14:textId="77777777" w:rsidR="00602348" w:rsidRDefault="00602348" w:rsidP="0071435F">
      <w:pPr>
        <w:tabs>
          <w:tab w:val="left" w:pos="7590"/>
        </w:tabs>
        <w:rPr>
          <w:rFonts w:ascii="Arial" w:hAnsi="Arial" w:cs="Arial"/>
          <w:b/>
          <w:bCs/>
          <w:sz w:val="24"/>
          <w:szCs w:val="24"/>
        </w:rPr>
      </w:pPr>
    </w:p>
    <w:p w14:paraId="3FF56D67" w14:textId="77777777" w:rsidR="00602348" w:rsidRDefault="00602348" w:rsidP="0071435F">
      <w:pPr>
        <w:tabs>
          <w:tab w:val="left" w:pos="7590"/>
        </w:tabs>
        <w:rPr>
          <w:rFonts w:ascii="Arial" w:hAnsi="Arial" w:cs="Arial"/>
          <w:b/>
          <w:bCs/>
          <w:sz w:val="24"/>
          <w:szCs w:val="24"/>
        </w:rPr>
      </w:pPr>
    </w:p>
    <w:p w14:paraId="65197BBB" w14:textId="77777777" w:rsidR="00602348" w:rsidRDefault="00602348" w:rsidP="0071435F">
      <w:pPr>
        <w:tabs>
          <w:tab w:val="left" w:pos="7590"/>
        </w:tabs>
        <w:rPr>
          <w:rFonts w:ascii="Arial" w:hAnsi="Arial" w:cs="Arial"/>
          <w:b/>
          <w:bCs/>
          <w:sz w:val="24"/>
          <w:szCs w:val="24"/>
        </w:rPr>
      </w:pPr>
    </w:p>
    <w:p w14:paraId="027D761F" w14:textId="77777777" w:rsidR="00602348" w:rsidRDefault="00602348" w:rsidP="0071435F">
      <w:pPr>
        <w:tabs>
          <w:tab w:val="left" w:pos="7590"/>
        </w:tabs>
        <w:rPr>
          <w:rFonts w:ascii="Arial" w:hAnsi="Arial" w:cs="Arial"/>
          <w:b/>
          <w:bCs/>
          <w:sz w:val="24"/>
          <w:szCs w:val="24"/>
        </w:rPr>
      </w:pPr>
    </w:p>
    <w:p w14:paraId="1F4023B4" w14:textId="77777777" w:rsidR="00602348" w:rsidRDefault="00602348" w:rsidP="0071435F">
      <w:pPr>
        <w:tabs>
          <w:tab w:val="left" w:pos="7590"/>
        </w:tabs>
        <w:rPr>
          <w:rFonts w:ascii="Arial" w:hAnsi="Arial" w:cs="Arial"/>
          <w:b/>
          <w:bCs/>
          <w:sz w:val="24"/>
          <w:szCs w:val="24"/>
        </w:rPr>
      </w:pPr>
    </w:p>
    <w:p w14:paraId="5E0F9946" w14:textId="77777777" w:rsidR="00602348" w:rsidRDefault="00602348" w:rsidP="0071435F">
      <w:pPr>
        <w:tabs>
          <w:tab w:val="left" w:pos="7590"/>
        </w:tabs>
        <w:rPr>
          <w:rFonts w:ascii="Arial" w:hAnsi="Arial" w:cs="Arial"/>
          <w:b/>
          <w:bCs/>
          <w:sz w:val="24"/>
          <w:szCs w:val="24"/>
        </w:rPr>
      </w:pPr>
    </w:p>
    <w:p w14:paraId="70A40E3C" w14:textId="77777777" w:rsidR="00602348" w:rsidRDefault="00602348" w:rsidP="0071435F">
      <w:pPr>
        <w:tabs>
          <w:tab w:val="left" w:pos="7590"/>
        </w:tabs>
        <w:rPr>
          <w:rFonts w:ascii="Arial" w:hAnsi="Arial" w:cs="Arial"/>
          <w:b/>
          <w:bCs/>
          <w:sz w:val="24"/>
          <w:szCs w:val="24"/>
        </w:rPr>
      </w:pPr>
    </w:p>
    <w:p w14:paraId="32D8444E" w14:textId="77777777" w:rsidR="00602348" w:rsidRDefault="00602348" w:rsidP="0071435F">
      <w:pPr>
        <w:tabs>
          <w:tab w:val="left" w:pos="7590"/>
        </w:tabs>
        <w:rPr>
          <w:rFonts w:ascii="Arial" w:hAnsi="Arial" w:cs="Arial"/>
          <w:b/>
          <w:bCs/>
          <w:sz w:val="24"/>
          <w:szCs w:val="24"/>
        </w:rPr>
      </w:pPr>
    </w:p>
    <w:p w14:paraId="6892407E" w14:textId="77777777" w:rsidR="00602348" w:rsidRDefault="00602348" w:rsidP="0071435F">
      <w:pPr>
        <w:tabs>
          <w:tab w:val="left" w:pos="7590"/>
        </w:tabs>
        <w:rPr>
          <w:rFonts w:ascii="Arial" w:hAnsi="Arial" w:cs="Arial"/>
          <w:b/>
          <w:bCs/>
          <w:sz w:val="24"/>
          <w:szCs w:val="24"/>
        </w:rPr>
      </w:pPr>
    </w:p>
    <w:p w14:paraId="14933360" w14:textId="77777777" w:rsidR="008B2AFA" w:rsidRPr="008B2AFA" w:rsidRDefault="008B2AFA" w:rsidP="008B2AFA">
      <w:pPr>
        <w:spacing w:after="0" w:line="240" w:lineRule="auto"/>
        <w:rPr>
          <w:rFonts w:ascii="Arial" w:eastAsia="Calibri" w:hAnsi="Arial" w:cs="Arial"/>
          <w:b/>
          <w:bCs/>
          <w:sz w:val="24"/>
        </w:rPr>
      </w:pPr>
      <w:r w:rsidRPr="008B2AFA">
        <w:rPr>
          <w:rFonts w:ascii="Arial" w:eastAsia="Calibri" w:hAnsi="Arial" w:cs="Arial"/>
          <w:b/>
          <w:bCs/>
          <w:sz w:val="24"/>
        </w:rPr>
        <w:t>Somerset Council – Member Briefing</w:t>
      </w:r>
    </w:p>
    <w:p w14:paraId="6E26A118" w14:textId="77777777" w:rsidR="008B2AFA" w:rsidRPr="008B2AFA" w:rsidRDefault="008B2AFA" w:rsidP="008B2AFA">
      <w:pPr>
        <w:spacing w:after="0" w:line="240" w:lineRule="auto"/>
        <w:rPr>
          <w:rFonts w:ascii="Arial" w:eastAsia="Calibri" w:hAnsi="Arial" w:cs="Arial"/>
          <w:b/>
          <w:bCs/>
          <w:sz w:val="24"/>
        </w:rPr>
      </w:pPr>
      <w:r w:rsidRPr="008B2AFA">
        <w:rPr>
          <w:rFonts w:ascii="Arial" w:eastAsia="Calibri" w:hAnsi="Arial" w:cs="Arial"/>
          <w:b/>
          <w:bCs/>
          <w:sz w:val="24"/>
        </w:rPr>
        <w:t>Hinkley Point C – Environmental Permit Application – May 2023</w:t>
      </w:r>
    </w:p>
    <w:p w14:paraId="5AFF10E6" w14:textId="77777777" w:rsidR="008B2AFA" w:rsidRPr="008B2AFA" w:rsidRDefault="008B2AFA" w:rsidP="008B2AFA">
      <w:pPr>
        <w:spacing w:after="200" w:line="276" w:lineRule="auto"/>
        <w:rPr>
          <w:rFonts w:ascii="Arial" w:eastAsia="Calibri" w:hAnsi="Arial" w:cs="Arial"/>
          <w:b/>
          <w:bCs/>
          <w:sz w:val="24"/>
          <w:lang w:val="en-US"/>
        </w:rPr>
      </w:pPr>
    </w:p>
    <w:p w14:paraId="06383913" w14:textId="77777777" w:rsidR="008B2AFA" w:rsidRPr="008B2AFA" w:rsidRDefault="008B2AFA" w:rsidP="008B2AFA">
      <w:pPr>
        <w:spacing w:after="0" w:line="240" w:lineRule="auto"/>
        <w:rPr>
          <w:rFonts w:ascii="Arial" w:eastAsia="Calibri" w:hAnsi="Arial" w:cs="Arial"/>
          <w:b/>
          <w:bCs/>
          <w:sz w:val="24"/>
        </w:rPr>
      </w:pPr>
      <w:r w:rsidRPr="008B2AFA">
        <w:rPr>
          <w:rFonts w:ascii="Arial" w:eastAsia="Calibri" w:hAnsi="Arial" w:cs="Arial"/>
          <w:b/>
          <w:bCs/>
          <w:sz w:val="24"/>
        </w:rPr>
        <w:t xml:space="preserve">Application reference: </w:t>
      </w:r>
      <w:r w:rsidRPr="008B2AFA">
        <w:rPr>
          <w:rFonts w:ascii="Arial" w:eastAsia="Calibri" w:hAnsi="Arial" w:cs="Arial"/>
          <w:b/>
          <w:bCs/>
          <w:sz w:val="24"/>
        </w:rPr>
        <w:tab/>
        <w:t>EPR/HP3228XT/V005</w:t>
      </w:r>
    </w:p>
    <w:p w14:paraId="35F2487F" w14:textId="77777777" w:rsidR="008B2AFA" w:rsidRPr="008B2AFA" w:rsidRDefault="008B2AFA" w:rsidP="008B2AFA">
      <w:pPr>
        <w:spacing w:after="0" w:line="240" w:lineRule="auto"/>
        <w:rPr>
          <w:rFonts w:ascii="Arial" w:eastAsia="Calibri" w:hAnsi="Arial" w:cs="Arial"/>
          <w:b/>
          <w:bCs/>
          <w:sz w:val="24"/>
        </w:rPr>
      </w:pPr>
      <w:r w:rsidRPr="008B2AFA">
        <w:rPr>
          <w:rFonts w:ascii="Arial" w:eastAsia="Calibri" w:hAnsi="Arial" w:cs="Arial"/>
          <w:b/>
          <w:bCs/>
          <w:sz w:val="24"/>
        </w:rPr>
        <w:t xml:space="preserve">Operator: </w:t>
      </w:r>
      <w:r w:rsidRPr="008B2AFA">
        <w:rPr>
          <w:rFonts w:ascii="Arial" w:eastAsia="Calibri" w:hAnsi="Arial" w:cs="Arial"/>
          <w:b/>
          <w:bCs/>
          <w:sz w:val="24"/>
        </w:rPr>
        <w:tab/>
      </w:r>
      <w:r w:rsidRPr="008B2AFA">
        <w:rPr>
          <w:rFonts w:ascii="Arial" w:eastAsia="Calibri" w:hAnsi="Arial" w:cs="Arial"/>
          <w:b/>
          <w:bCs/>
          <w:sz w:val="24"/>
        </w:rPr>
        <w:tab/>
      </w:r>
      <w:r w:rsidRPr="008B2AFA">
        <w:rPr>
          <w:rFonts w:ascii="Arial" w:eastAsia="Calibri" w:hAnsi="Arial" w:cs="Arial"/>
          <w:b/>
          <w:bCs/>
          <w:sz w:val="24"/>
        </w:rPr>
        <w:tab/>
        <w:t xml:space="preserve">NNB Generation Company (HPC) Limited </w:t>
      </w:r>
    </w:p>
    <w:p w14:paraId="2AD40BA0" w14:textId="77777777" w:rsidR="008B2AFA" w:rsidRPr="008B2AFA" w:rsidRDefault="008B2AFA" w:rsidP="008B2AFA">
      <w:pPr>
        <w:spacing w:after="0" w:line="240" w:lineRule="auto"/>
        <w:rPr>
          <w:rFonts w:ascii="Arial" w:eastAsia="Calibri" w:hAnsi="Arial" w:cs="Arial"/>
          <w:b/>
          <w:bCs/>
          <w:sz w:val="24"/>
        </w:rPr>
      </w:pPr>
      <w:r w:rsidRPr="008B2AFA">
        <w:rPr>
          <w:rFonts w:ascii="Arial" w:eastAsia="Calibri" w:hAnsi="Arial" w:cs="Arial"/>
          <w:b/>
          <w:bCs/>
          <w:sz w:val="24"/>
        </w:rPr>
        <w:t xml:space="preserve">Facility: </w:t>
      </w:r>
      <w:r w:rsidRPr="008B2AFA">
        <w:rPr>
          <w:rFonts w:ascii="Arial" w:eastAsia="Calibri" w:hAnsi="Arial" w:cs="Arial"/>
          <w:b/>
          <w:bCs/>
          <w:sz w:val="24"/>
        </w:rPr>
        <w:tab/>
      </w:r>
      <w:r w:rsidRPr="008B2AFA">
        <w:rPr>
          <w:rFonts w:ascii="Arial" w:eastAsia="Calibri" w:hAnsi="Arial" w:cs="Arial"/>
          <w:b/>
          <w:bCs/>
          <w:sz w:val="24"/>
        </w:rPr>
        <w:tab/>
      </w:r>
      <w:r w:rsidRPr="008B2AFA">
        <w:rPr>
          <w:rFonts w:ascii="Arial" w:eastAsia="Calibri" w:hAnsi="Arial" w:cs="Arial"/>
          <w:b/>
          <w:bCs/>
          <w:sz w:val="24"/>
        </w:rPr>
        <w:tab/>
        <w:t>Hinkley Point C Power Station, Somerset, TA5 1UD.</w:t>
      </w:r>
    </w:p>
    <w:p w14:paraId="23CECAA6" w14:textId="77777777" w:rsidR="008B2AFA" w:rsidRPr="008B2AFA" w:rsidRDefault="008B2AFA" w:rsidP="008B2AFA">
      <w:pPr>
        <w:spacing w:after="200" w:line="276" w:lineRule="auto"/>
        <w:rPr>
          <w:rFonts w:ascii="Arial" w:eastAsia="Calibri" w:hAnsi="Arial" w:cs="Arial"/>
          <w:b/>
          <w:bCs/>
          <w:sz w:val="24"/>
          <w:lang w:val="en-US"/>
        </w:rPr>
      </w:pPr>
    </w:p>
    <w:p w14:paraId="4F410DC2" w14:textId="77777777" w:rsidR="008B2AFA" w:rsidRPr="008B2AFA" w:rsidRDefault="008B2AFA" w:rsidP="008B2AFA">
      <w:pPr>
        <w:spacing w:after="200" w:line="276" w:lineRule="auto"/>
        <w:rPr>
          <w:rFonts w:ascii="Arial" w:eastAsia="Calibri" w:hAnsi="Arial" w:cs="Arial"/>
          <w:sz w:val="24"/>
        </w:rPr>
      </w:pPr>
      <w:r w:rsidRPr="008B2AFA">
        <w:rPr>
          <w:rFonts w:ascii="Arial" w:eastAsia="Calibri" w:hAnsi="Arial" w:cs="Arial"/>
          <w:b/>
          <w:bCs/>
          <w:sz w:val="24"/>
          <w:lang w:val="en-US"/>
        </w:rPr>
        <w:t xml:space="preserve">Introduction: - </w:t>
      </w:r>
      <w:r w:rsidRPr="008B2AFA">
        <w:rPr>
          <w:rFonts w:ascii="Arial" w:eastAsia="Calibri" w:hAnsi="Arial" w:cs="Arial"/>
          <w:sz w:val="24"/>
        </w:rPr>
        <w:t>Officers of Somerset Council are issuing this Member briefing to inform you that a response to an Environment Agency consultation in respect of the Water Discharge Activity (WDA) permit for Hinkley Point C (HPC) is due to be submitted by 25</w:t>
      </w:r>
      <w:r w:rsidRPr="008B2AFA">
        <w:rPr>
          <w:rFonts w:ascii="Arial" w:eastAsia="Calibri" w:hAnsi="Arial" w:cs="Arial"/>
          <w:sz w:val="24"/>
          <w:vertAlign w:val="superscript"/>
        </w:rPr>
        <w:t>th</w:t>
      </w:r>
      <w:r w:rsidRPr="008B2AFA">
        <w:rPr>
          <w:rFonts w:ascii="Arial" w:eastAsia="Calibri" w:hAnsi="Arial" w:cs="Arial"/>
          <w:sz w:val="24"/>
        </w:rPr>
        <w:t xml:space="preserve"> May. This briefing is for your information only.</w:t>
      </w:r>
    </w:p>
    <w:p w14:paraId="0DB9A1F2" w14:textId="77777777" w:rsidR="008B2AFA" w:rsidRPr="008B2AFA" w:rsidRDefault="008B2AFA" w:rsidP="008B2AFA">
      <w:pPr>
        <w:spacing w:after="200" w:line="276" w:lineRule="auto"/>
        <w:rPr>
          <w:rFonts w:ascii="Arial" w:eastAsia="Calibri" w:hAnsi="Arial" w:cs="Arial"/>
          <w:sz w:val="24"/>
        </w:rPr>
      </w:pPr>
      <w:r w:rsidRPr="008B2AFA">
        <w:rPr>
          <w:rFonts w:ascii="Arial" w:eastAsia="Calibri" w:hAnsi="Arial" w:cs="Arial"/>
          <w:sz w:val="24"/>
        </w:rPr>
        <w:t xml:space="preserve">Officers are aware due to attending stakeholder meetings, that the proposed WDA permit (and additional consents that would be required </w:t>
      </w:r>
      <w:proofErr w:type="gramStart"/>
      <w:r w:rsidRPr="008B2AFA">
        <w:rPr>
          <w:rFonts w:ascii="Arial" w:eastAsia="Calibri" w:hAnsi="Arial" w:cs="Arial"/>
          <w:sz w:val="24"/>
        </w:rPr>
        <w:t>in order to</w:t>
      </w:r>
      <w:proofErr w:type="gramEnd"/>
      <w:r w:rsidRPr="008B2AFA">
        <w:rPr>
          <w:rFonts w:ascii="Arial" w:eastAsia="Calibri" w:hAnsi="Arial" w:cs="Arial"/>
          <w:sz w:val="24"/>
        </w:rPr>
        <w:t xml:space="preserve"> remove the Acoustic Fish Deterrent system) have attracted interest from local community groups and members of the public.</w:t>
      </w:r>
    </w:p>
    <w:p w14:paraId="25868BEB" w14:textId="77777777" w:rsidR="008B2AFA" w:rsidRPr="008B2AFA" w:rsidRDefault="008B2AFA" w:rsidP="008B2AFA">
      <w:pPr>
        <w:spacing w:after="200" w:line="276" w:lineRule="auto"/>
        <w:rPr>
          <w:rFonts w:ascii="Arial" w:eastAsia="Calibri" w:hAnsi="Arial" w:cs="Arial"/>
          <w:sz w:val="24"/>
        </w:rPr>
      </w:pPr>
      <w:r w:rsidRPr="008B2AFA">
        <w:rPr>
          <w:rFonts w:ascii="Arial" w:eastAsia="Calibri" w:hAnsi="Arial" w:cs="Arial"/>
          <w:b/>
          <w:bCs/>
          <w:sz w:val="24"/>
        </w:rPr>
        <w:t xml:space="preserve">Summary of application: - </w:t>
      </w:r>
      <w:r w:rsidRPr="008B2AFA">
        <w:rPr>
          <w:rFonts w:ascii="Arial" w:eastAsia="Calibri" w:hAnsi="Arial" w:cs="Arial"/>
          <w:sz w:val="24"/>
        </w:rPr>
        <w:t xml:space="preserve">The Environment Agency (EA) have received an application from NNB Generation Company to amend their existing HPC WDA Permit. </w:t>
      </w:r>
    </w:p>
    <w:p w14:paraId="35B28965" w14:textId="77777777" w:rsidR="008B2AFA" w:rsidRPr="008B2AFA" w:rsidRDefault="008B2AFA" w:rsidP="008B2AFA">
      <w:pPr>
        <w:spacing w:after="200" w:line="276" w:lineRule="auto"/>
        <w:rPr>
          <w:rFonts w:ascii="Arial" w:eastAsia="Calibri" w:hAnsi="Arial" w:cs="Arial"/>
          <w:sz w:val="24"/>
        </w:rPr>
      </w:pPr>
      <w:r w:rsidRPr="008B2AFA">
        <w:rPr>
          <w:rFonts w:ascii="Arial" w:eastAsia="Calibri" w:hAnsi="Arial" w:cs="Arial"/>
          <w:sz w:val="24"/>
        </w:rPr>
        <w:t xml:space="preserve">The original WDA permit application (submitted in 2011) included three mitigation measures in the design of the HPC cooling water system: an Acoustic Fish Deterrent (AFD); Low Velocity Side Intakes; and a Fish Recovery and Return system. The existing permit, issued in 2013, allows the cooling water system to operate as described in the application. Conditions require the applicant to submit reports to the EA describing how their proposed AFD will operate and to demonstrate that it will be optimised to minimise impacts on fish and other marine wildlife. </w:t>
      </w:r>
    </w:p>
    <w:p w14:paraId="1D4DA50F" w14:textId="77777777" w:rsidR="008B2AFA" w:rsidRPr="008B2AFA" w:rsidRDefault="008B2AFA" w:rsidP="008B2AFA">
      <w:pPr>
        <w:spacing w:after="200" w:line="276" w:lineRule="auto"/>
        <w:rPr>
          <w:rFonts w:ascii="Arial" w:eastAsia="Calibri" w:hAnsi="Arial" w:cs="Arial"/>
          <w:sz w:val="24"/>
        </w:rPr>
      </w:pPr>
      <w:r w:rsidRPr="008B2AFA">
        <w:rPr>
          <w:rFonts w:ascii="Arial" w:eastAsia="Calibri" w:hAnsi="Arial" w:cs="Arial"/>
          <w:sz w:val="24"/>
        </w:rPr>
        <w:t xml:space="preserve">The proposal is to vary this operational WDA permit, to remove conditions that relate to the Acoustic Fish Deterrent (AFD) and add a waste stream for discharge from the Fish Recovery and Return system (FRR). </w:t>
      </w:r>
    </w:p>
    <w:p w14:paraId="46C20139" w14:textId="77777777" w:rsidR="008B2AFA" w:rsidRPr="008B2AFA" w:rsidRDefault="008B2AFA" w:rsidP="008B2AFA">
      <w:pPr>
        <w:spacing w:after="200" w:line="276" w:lineRule="auto"/>
        <w:rPr>
          <w:rFonts w:ascii="Arial" w:eastAsia="Calibri" w:hAnsi="Arial" w:cs="Arial"/>
          <w:sz w:val="24"/>
        </w:rPr>
      </w:pPr>
      <w:r w:rsidRPr="008B2AFA">
        <w:rPr>
          <w:rFonts w:ascii="Arial" w:eastAsia="Calibri" w:hAnsi="Arial" w:cs="Arial"/>
          <w:sz w:val="24"/>
        </w:rPr>
        <w:t xml:space="preserve">You will recall that the EA conducted a consultation earlier this year (January – February) seeking views on the proposed application to vary the permit. Somerset County Council, Somerset West and Taunton Council, and Sedgemoor District Council responded jointly to that consultation (a summary of the matters raised is listed below). This next round of consultation is aimed at providing stakeholders and the </w:t>
      </w:r>
      <w:proofErr w:type="gramStart"/>
      <w:r w:rsidRPr="008B2AFA">
        <w:rPr>
          <w:rFonts w:ascii="Arial" w:eastAsia="Calibri" w:hAnsi="Arial" w:cs="Arial"/>
          <w:sz w:val="24"/>
        </w:rPr>
        <w:t>general public</w:t>
      </w:r>
      <w:proofErr w:type="gramEnd"/>
      <w:r w:rsidRPr="008B2AFA">
        <w:rPr>
          <w:rFonts w:ascii="Arial" w:eastAsia="Calibri" w:hAnsi="Arial" w:cs="Arial"/>
          <w:sz w:val="24"/>
        </w:rPr>
        <w:t xml:space="preserve"> the opportunity to comment on their draft decision and draft permit. The EA currently intend to conditionally approve the application.</w:t>
      </w:r>
    </w:p>
    <w:p w14:paraId="1BB5BA35" w14:textId="77777777" w:rsidR="008B2AFA" w:rsidRPr="008B2AFA" w:rsidRDefault="008B2AFA" w:rsidP="008B2AFA">
      <w:pPr>
        <w:spacing w:after="200" w:line="276" w:lineRule="auto"/>
        <w:rPr>
          <w:rFonts w:ascii="Arial" w:eastAsia="Calibri" w:hAnsi="Arial" w:cs="Arial"/>
          <w:b/>
          <w:bCs/>
          <w:sz w:val="24"/>
        </w:rPr>
      </w:pPr>
      <w:r w:rsidRPr="008B2AFA">
        <w:rPr>
          <w:rFonts w:ascii="Arial" w:eastAsia="Calibri" w:hAnsi="Arial" w:cs="Arial"/>
          <w:b/>
          <w:bCs/>
          <w:sz w:val="24"/>
        </w:rPr>
        <w:lastRenderedPageBreak/>
        <w:t xml:space="preserve">Somerset Council’s response: - </w:t>
      </w:r>
      <w:r w:rsidRPr="008B2AFA">
        <w:rPr>
          <w:rFonts w:ascii="Arial" w:eastAsia="Calibri" w:hAnsi="Arial" w:cs="Arial"/>
          <w:sz w:val="24"/>
        </w:rPr>
        <w:t>It should be noted that the components linked to the WDA permit sit within the Bristol Channel, beyond the Low Water Mark and so are not within the jurisdiction of any of the Local Planning Authority.  They would be within the jurisdiction of the Marine Management Organisation (MMO).  Our response is based upon the potential for consequential impacts to arise as a result within areas that are in our control – Low to High Water Marks and foreshore areas.</w:t>
      </w:r>
      <w:r w:rsidRPr="008B2AFA">
        <w:rPr>
          <w:rFonts w:ascii="Arial" w:eastAsia="Calibri" w:hAnsi="Arial" w:cs="Arial"/>
          <w:b/>
          <w:bCs/>
          <w:sz w:val="24"/>
        </w:rPr>
        <w:t xml:space="preserve">   </w:t>
      </w:r>
    </w:p>
    <w:p w14:paraId="25B53635" w14:textId="77777777" w:rsidR="008B2AFA" w:rsidRPr="008B2AFA" w:rsidRDefault="008B2AFA" w:rsidP="008B2AFA">
      <w:pPr>
        <w:spacing w:after="200" w:line="276" w:lineRule="auto"/>
        <w:rPr>
          <w:rFonts w:ascii="Arial" w:eastAsia="Calibri" w:hAnsi="Arial" w:cs="Arial"/>
          <w:sz w:val="24"/>
        </w:rPr>
      </w:pPr>
      <w:r w:rsidRPr="008B2AFA">
        <w:rPr>
          <w:rFonts w:ascii="Arial" w:eastAsia="Calibri" w:hAnsi="Arial" w:cs="Arial"/>
          <w:sz w:val="24"/>
        </w:rPr>
        <w:t xml:space="preserve">The current EA consultation includes a draft report which includes detailed information regarding how the EA have conducted their review and reached their proposed decision of approval. Outlined below is a summary of the key matters raised in our previous response (in italics), and the additional information provided by the EA in this latest consultation: - </w:t>
      </w:r>
    </w:p>
    <w:p w14:paraId="33ED5683" w14:textId="77777777" w:rsidR="008B2AFA" w:rsidRPr="008B2AFA" w:rsidRDefault="008B2AFA" w:rsidP="008B2AFA">
      <w:pPr>
        <w:numPr>
          <w:ilvl w:val="0"/>
          <w:numId w:val="3"/>
        </w:numPr>
        <w:spacing w:after="0" w:line="240" w:lineRule="auto"/>
        <w:rPr>
          <w:rFonts w:ascii="Arial" w:eastAsia="Calibri" w:hAnsi="Arial" w:cs="Arial"/>
          <w:i/>
          <w:iCs/>
          <w:sz w:val="24"/>
        </w:rPr>
      </w:pPr>
      <w:r w:rsidRPr="008B2AFA">
        <w:rPr>
          <w:rFonts w:ascii="Arial" w:eastAsia="Calibri" w:hAnsi="Arial" w:cs="Arial"/>
          <w:i/>
          <w:iCs/>
          <w:sz w:val="24"/>
        </w:rPr>
        <w:t xml:space="preserve">Matters for consideration as part of the HRA – notably, species designated at other European Sites using the Severn Estuary as “functionally linked land” and that therefore these other sites need consideration as part of the assessment. </w:t>
      </w:r>
    </w:p>
    <w:p w14:paraId="331CAF77" w14:textId="77777777" w:rsidR="008B2AFA" w:rsidRPr="008B2AFA" w:rsidRDefault="008B2AFA" w:rsidP="008B2AFA">
      <w:pPr>
        <w:spacing w:after="0" w:line="240" w:lineRule="auto"/>
        <w:rPr>
          <w:rFonts w:ascii="Arial" w:eastAsia="Calibri" w:hAnsi="Arial" w:cs="Arial"/>
          <w:sz w:val="24"/>
        </w:rPr>
      </w:pPr>
    </w:p>
    <w:p w14:paraId="6E8433D5" w14:textId="77777777" w:rsidR="008B2AFA" w:rsidRPr="008B2AFA" w:rsidRDefault="008B2AFA" w:rsidP="008B2AFA">
      <w:pPr>
        <w:spacing w:after="0" w:line="240" w:lineRule="auto"/>
        <w:rPr>
          <w:rFonts w:ascii="Arial" w:eastAsia="Calibri" w:hAnsi="Arial" w:cs="Arial"/>
          <w:sz w:val="24"/>
          <w:lang w:val="en-US"/>
        </w:rPr>
      </w:pPr>
      <w:r w:rsidRPr="008B2AFA">
        <w:rPr>
          <w:rFonts w:ascii="Arial" w:eastAsia="Calibri" w:hAnsi="Arial" w:cs="Arial"/>
          <w:sz w:val="24"/>
          <w:lang w:val="en-US"/>
        </w:rPr>
        <w:t xml:space="preserve">The EA confirm that they have carried out an Appropriate Assessment (Habitats Regulation Assessment) which covers all relevant Environment Agency permissions, </w:t>
      </w:r>
      <w:proofErr w:type="gramStart"/>
      <w:r w:rsidRPr="008B2AFA">
        <w:rPr>
          <w:rFonts w:ascii="Arial" w:eastAsia="Calibri" w:hAnsi="Arial" w:cs="Arial"/>
          <w:sz w:val="24"/>
          <w:lang w:val="en-US"/>
        </w:rPr>
        <w:t>plans</w:t>
      </w:r>
      <w:proofErr w:type="gramEnd"/>
      <w:r w:rsidRPr="008B2AFA">
        <w:rPr>
          <w:rFonts w:ascii="Arial" w:eastAsia="Calibri" w:hAnsi="Arial" w:cs="Arial"/>
          <w:sz w:val="24"/>
          <w:lang w:val="en-US"/>
        </w:rPr>
        <w:t xml:space="preserve"> or projects in-combination, as well as those of other bodies. The HRA demonstrates that the release of dead and damaged fish and invertebrates from the fish recovery and return system will not result in an adverse effect on the integrity of the European sites. The consultation material clearly lists which sites have been included as part of the assessment.</w:t>
      </w:r>
    </w:p>
    <w:p w14:paraId="60C556C8" w14:textId="77777777" w:rsidR="008B2AFA" w:rsidRPr="008B2AFA" w:rsidRDefault="008B2AFA" w:rsidP="008B2AFA">
      <w:pPr>
        <w:spacing w:after="0" w:line="240" w:lineRule="auto"/>
        <w:rPr>
          <w:rFonts w:ascii="Arial" w:eastAsia="Calibri" w:hAnsi="Arial" w:cs="Arial"/>
          <w:i/>
          <w:iCs/>
          <w:sz w:val="24"/>
          <w:lang w:val="en-US"/>
        </w:rPr>
      </w:pPr>
    </w:p>
    <w:p w14:paraId="0D9F1FC9" w14:textId="77777777" w:rsidR="008B2AFA" w:rsidRPr="008B2AFA" w:rsidRDefault="008B2AFA" w:rsidP="008B2AFA">
      <w:pPr>
        <w:numPr>
          <w:ilvl w:val="0"/>
          <w:numId w:val="3"/>
        </w:numPr>
        <w:spacing w:after="0" w:line="240" w:lineRule="auto"/>
        <w:rPr>
          <w:rFonts w:ascii="Arial" w:eastAsia="Calibri" w:hAnsi="Arial" w:cs="Arial"/>
          <w:i/>
          <w:iCs/>
          <w:sz w:val="24"/>
          <w:lang w:val="en-US"/>
        </w:rPr>
      </w:pPr>
      <w:r w:rsidRPr="008B2AFA">
        <w:rPr>
          <w:rFonts w:ascii="Arial" w:eastAsia="Calibri" w:hAnsi="Arial" w:cs="Arial"/>
          <w:i/>
          <w:iCs/>
          <w:sz w:val="24"/>
          <w:lang w:val="en-US"/>
        </w:rPr>
        <w:t xml:space="preserve">Concern in relation to the potential adverse impact of impingement losses on the local coastline, and </w:t>
      </w:r>
      <w:proofErr w:type="gramStart"/>
      <w:r w:rsidRPr="008B2AFA">
        <w:rPr>
          <w:rFonts w:ascii="Arial" w:eastAsia="Calibri" w:hAnsi="Arial" w:cs="Arial"/>
          <w:i/>
          <w:iCs/>
          <w:sz w:val="24"/>
          <w:lang w:val="en-US"/>
        </w:rPr>
        <w:t>in particular the</w:t>
      </w:r>
      <w:proofErr w:type="gramEnd"/>
      <w:r w:rsidRPr="008B2AFA">
        <w:rPr>
          <w:rFonts w:ascii="Arial" w:eastAsia="Calibri" w:hAnsi="Arial" w:cs="Arial"/>
          <w:i/>
          <w:iCs/>
          <w:sz w:val="24"/>
          <w:lang w:val="en-US"/>
        </w:rPr>
        <w:t xml:space="preserve"> potential negative tourism impact of this. </w:t>
      </w:r>
    </w:p>
    <w:p w14:paraId="2C930F6D" w14:textId="77777777" w:rsidR="008B2AFA" w:rsidRPr="008B2AFA" w:rsidRDefault="008B2AFA" w:rsidP="008B2AFA">
      <w:pPr>
        <w:spacing w:after="0" w:line="240" w:lineRule="auto"/>
        <w:rPr>
          <w:rFonts w:ascii="Arial" w:eastAsia="Calibri" w:hAnsi="Arial" w:cs="Arial"/>
          <w:i/>
          <w:iCs/>
          <w:sz w:val="24"/>
          <w:lang w:val="en-US"/>
        </w:rPr>
      </w:pPr>
    </w:p>
    <w:p w14:paraId="20C3A549" w14:textId="77777777" w:rsidR="008B2AFA" w:rsidRPr="008B2AFA" w:rsidRDefault="008B2AFA" w:rsidP="008B2AFA">
      <w:pPr>
        <w:spacing w:after="0" w:line="240" w:lineRule="auto"/>
        <w:rPr>
          <w:rFonts w:ascii="Arial" w:eastAsia="Calibri" w:hAnsi="Arial" w:cs="Arial"/>
          <w:sz w:val="24"/>
          <w:lang w:val="en-US"/>
        </w:rPr>
      </w:pPr>
      <w:r w:rsidRPr="008B2AFA">
        <w:rPr>
          <w:rFonts w:ascii="Arial" w:eastAsia="Calibri" w:hAnsi="Arial" w:cs="Arial"/>
          <w:sz w:val="24"/>
          <w:lang w:val="en-US"/>
        </w:rPr>
        <w:t xml:space="preserve">The EA have been clear that when considering the permit variation application, the following has been assessed in relation to the </w:t>
      </w:r>
      <w:proofErr w:type="spellStart"/>
      <w:r w:rsidRPr="008B2AFA">
        <w:rPr>
          <w:rFonts w:ascii="Arial" w:eastAsia="Calibri" w:hAnsi="Arial" w:cs="Arial"/>
          <w:sz w:val="24"/>
          <w:lang w:val="en-US"/>
        </w:rPr>
        <w:t>affects</w:t>
      </w:r>
      <w:proofErr w:type="spellEnd"/>
      <w:r w:rsidRPr="008B2AFA">
        <w:rPr>
          <w:rFonts w:ascii="Arial" w:eastAsia="Calibri" w:hAnsi="Arial" w:cs="Arial"/>
          <w:sz w:val="24"/>
          <w:lang w:val="en-US"/>
        </w:rPr>
        <w:t xml:space="preserve"> of removing the AFD on </w:t>
      </w:r>
      <w:proofErr w:type="gramStart"/>
      <w:r w:rsidRPr="008B2AFA">
        <w:rPr>
          <w:rFonts w:ascii="Arial" w:eastAsia="Calibri" w:hAnsi="Arial" w:cs="Arial"/>
          <w:sz w:val="24"/>
          <w:lang w:val="en-US"/>
        </w:rPr>
        <w:t>the:-</w:t>
      </w:r>
      <w:proofErr w:type="gramEnd"/>
    </w:p>
    <w:p w14:paraId="0CA8AF73" w14:textId="77777777" w:rsidR="008B2AFA" w:rsidRPr="008B2AFA" w:rsidRDefault="008B2AFA" w:rsidP="008B2AFA">
      <w:pPr>
        <w:spacing w:after="0" w:line="240" w:lineRule="auto"/>
        <w:rPr>
          <w:rFonts w:ascii="Arial" w:eastAsia="Calibri" w:hAnsi="Arial" w:cs="Arial"/>
          <w:sz w:val="24"/>
          <w:lang w:val="en-US"/>
        </w:rPr>
      </w:pPr>
    </w:p>
    <w:p w14:paraId="3E5F7EA8" w14:textId="77777777" w:rsidR="008B2AFA" w:rsidRPr="008B2AFA" w:rsidRDefault="008B2AFA" w:rsidP="008B2AFA">
      <w:pPr>
        <w:numPr>
          <w:ilvl w:val="0"/>
          <w:numId w:val="2"/>
        </w:numPr>
        <w:spacing w:after="0" w:line="240" w:lineRule="auto"/>
        <w:rPr>
          <w:rFonts w:ascii="Arial" w:eastAsia="Calibri" w:hAnsi="Arial" w:cs="Arial"/>
          <w:sz w:val="24"/>
          <w:lang w:val="en-US"/>
        </w:rPr>
      </w:pPr>
      <w:r w:rsidRPr="008B2AFA">
        <w:rPr>
          <w:rFonts w:ascii="Arial" w:eastAsia="Calibri" w:hAnsi="Arial" w:cs="Arial"/>
          <w:sz w:val="24"/>
          <w:lang w:val="en-US"/>
        </w:rPr>
        <w:t xml:space="preserve">Potential for water </w:t>
      </w:r>
      <w:proofErr w:type="gramStart"/>
      <w:r w:rsidRPr="008B2AFA">
        <w:rPr>
          <w:rFonts w:ascii="Arial" w:eastAsia="Calibri" w:hAnsi="Arial" w:cs="Arial"/>
          <w:sz w:val="24"/>
          <w:lang w:val="en-US"/>
        </w:rPr>
        <w:t>pollution;</w:t>
      </w:r>
      <w:proofErr w:type="gramEnd"/>
    </w:p>
    <w:p w14:paraId="708ACF7D" w14:textId="77777777" w:rsidR="008B2AFA" w:rsidRPr="008B2AFA" w:rsidRDefault="008B2AFA" w:rsidP="008B2AFA">
      <w:pPr>
        <w:numPr>
          <w:ilvl w:val="0"/>
          <w:numId w:val="2"/>
        </w:numPr>
        <w:spacing w:after="0" w:line="240" w:lineRule="auto"/>
        <w:rPr>
          <w:rFonts w:ascii="Arial" w:eastAsia="Calibri" w:hAnsi="Arial" w:cs="Arial"/>
          <w:sz w:val="24"/>
          <w:lang w:val="en-US"/>
        </w:rPr>
      </w:pPr>
      <w:r w:rsidRPr="008B2AFA">
        <w:rPr>
          <w:rFonts w:ascii="Arial" w:eastAsia="Calibri" w:hAnsi="Arial" w:cs="Arial"/>
          <w:sz w:val="24"/>
          <w:lang w:val="en-US"/>
        </w:rPr>
        <w:t xml:space="preserve">habitat and species directly affected by the discharge from the fish recovery and return </w:t>
      </w:r>
      <w:proofErr w:type="gramStart"/>
      <w:r w:rsidRPr="008B2AFA">
        <w:rPr>
          <w:rFonts w:ascii="Arial" w:eastAsia="Calibri" w:hAnsi="Arial" w:cs="Arial"/>
          <w:sz w:val="24"/>
          <w:lang w:val="en-US"/>
        </w:rPr>
        <w:t>outfall</w:t>
      </w:r>
      <w:proofErr w:type="gramEnd"/>
    </w:p>
    <w:p w14:paraId="1846F429" w14:textId="77777777" w:rsidR="008B2AFA" w:rsidRPr="008B2AFA" w:rsidRDefault="008B2AFA" w:rsidP="008B2AFA">
      <w:pPr>
        <w:spacing w:after="0" w:line="240" w:lineRule="auto"/>
        <w:rPr>
          <w:rFonts w:ascii="Arial" w:eastAsia="Calibri" w:hAnsi="Arial" w:cs="Arial"/>
          <w:sz w:val="24"/>
          <w:lang w:val="en-US"/>
        </w:rPr>
      </w:pPr>
    </w:p>
    <w:p w14:paraId="75118535" w14:textId="77777777" w:rsidR="008B2AFA" w:rsidRPr="008B2AFA" w:rsidRDefault="008B2AFA" w:rsidP="008B2AFA">
      <w:pPr>
        <w:spacing w:after="0" w:line="240" w:lineRule="auto"/>
        <w:rPr>
          <w:rFonts w:ascii="Arial" w:eastAsia="Calibri" w:hAnsi="Arial" w:cs="Arial"/>
          <w:sz w:val="24"/>
          <w:lang w:val="en-US"/>
        </w:rPr>
      </w:pPr>
      <w:r w:rsidRPr="008B2AFA">
        <w:rPr>
          <w:rFonts w:ascii="Arial" w:eastAsia="Calibri" w:hAnsi="Arial" w:cs="Arial"/>
          <w:sz w:val="24"/>
          <w:lang w:val="en-US"/>
        </w:rPr>
        <w:t xml:space="preserve"> The EA are proposing limits on volume, rate and the total biomass discharged from     </w:t>
      </w:r>
    </w:p>
    <w:p w14:paraId="3C304AEC" w14:textId="77777777" w:rsidR="008B2AFA" w:rsidRPr="008B2AFA" w:rsidRDefault="008B2AFA" w:rsidP="008B2AFA">
      <w:pPr>
        <w:spacing w:after="0" w:line="240" w:lineRule="auto"/>
        <w:rPr>
          <w:rFonts w:ascii="Arial" w:eastAsia="Calibri" w:hAnsi="Arial" w:cs="Arial"/>
          <w:sz w:val="24"/>
          <w:lang w:val="en-US"/>
        </w:rPr>
      </w:pPr>
      <w:r w:rsidRPr="008B2AFA">
        <w:rPr>
          <w:rFonts w:ascii="Arial" w:eastAsia="Calibri" w:hAnsi="Arial" w:cs="Arial"/>
          <w:sz w:val="24"/>
          <w:lang w:val="en-US"/>
        </w:rPr>
        <w:t xml:space="preserve"> the fish recovery and return system outlet. In addition, conditions relating to    </w:t>
      </w:r>
    </w:p>
    <w:p w14:paraId="23B72590" w14:textId="77777777" w:rsidR="008B2AFA" w:rsidRPr="008B2AFA" w:rsidRDefault="008B2AFA" w:rsidP="008B2AFA">
      <w:pPr>
        <w:spacing w:after="0" w:line="240" w:lineRule="auto"/>
        <w:rPr>
          <w:rFonts w:ascii="Arial" w:eastAsia="Calibri" w:hAnsi="Arial" w:cs="Arial"/>
          <w:sz w:val="24"/>
          <w:lang w:val="en-US"/>
        </w:rPr>
      </w:pPr>
      <w:r w:rsidRPr="008B2AFA">
        <w:rPr>
          <w:rFonts w:ascii="Arial" w:eastAsia="Calibri" w:hAnsi="Arial" w:cs="Arial"/>
          <w:sz w:val="24"/>
          <w:lang w:val="en-US"/>
        </w:rPr>
        <w:t xml:space="preserve"> monitoring would be included as part of the permit </w:t>
      </w:r>
      <w:proofErr w:type="gramStart"/>
      <w:r w:rsidRPr="008B2AFA">
        <w:rPr>
          <w:rFonts w:ascii="Arial" w:eastAsia="Calibri" w:hAnsi="Arial" w:cs="Arial"/>
          <w:sz w:val="24"/>
          <w:lang w:val="en-US"/>
        </w:rPr>
        <w:t>in order to</w:t>
      </w:r>
      <w:proofErr w:type="gramEnd"/>
      <w:r w:rsidRPr="008B2AFA">
        <w:rPr>
          <w:rFonts w:ascii="Arial" w:eastAsia="Calibri" w:hAnsi="Arial" w:cs="Arial"/>
          <w:sz w:val="24"/>
          <w:lang w:val="en-US"/>
        </w:rPr>
        <w:t xml:space="preserve"> make sure that the </w:t>
      </w:r>
    </w:p>
    <w:p w14:paraId="4428D962" w14:textId="77777777" w:rsidR="008B2AFA" w:rsidRPr="008B2AFA" w:rsidRDefault="008B2AFA" w:rsidP="008B2AFA">
      <w:pPr>
        <w:spacing w:after="0" w:line="240" w:lineRule="auto"/>
        <w:rPr>
          <w:rFonts w:ascii="Arial" w:eastAsia="Calibri" w:hAnsi="Arial" w:cs="Arial"/>
          <w:sz w:val="24"/>
          <w:lang w:val="en-US"/>
        </w:rPr>
      </w:pPr>
      <w:r w:rsidRPr="008B2AFA">
        <w:rPr>
          <w:rFonts w:ascii="Arial" w:eastAsia="Calibri" w:hAnsi="Arial" w:cs="Arial"/>
          <w:sz w:val="24"/>
          <w:lang w:val="en-US"/>
        </w:rPr>
        <w:t xml:space="preserve"> level of emissions does not harm the receiving environment.  </w:t>
      </w:r>
    </w:p>
    <w:p w14:paraId="6E2856CC" w14:textId="77777777" w:rsidR="008B2AFA" w:rsidRPr="008B2AFA" w:rsidRDefault="008B2AFA" w:rsidP="008B2AFA">
      <w:pPr>
        <w:spacing w:after="0" w:line="240" w:lineRule="auto"/>
        <w:rPr>
          <w:rFonts w:ascii="Arial" w:eastAsia="Calibri" w:hAnsi="Arial" w:cs="Arial"/>
          <w:sz w:val="24"/>
          <w:lang w:val="en-US"/>
        </w:rPr>
      </w:pPr>
      <w:r w:rsidRPr="008B2AFA">
        <w:rPr>
          <w:rFonts w:ascii="Arial" w:eastAsia="Calibri" w:hAnsi="Arial" w:cs="Arial"/>
          <w:i/>
          <w:iCs/>
          <w:sz w:val="24"/>
          <w:lang w:val="en-US"/>
        </w:rPr>
        <w:t xml:space="preserve">          </w:t>
      </w:r>
    </w:p>
    <w:p w14:paraId="1C96B3EB" w14:textId="77777777" w:rsidR="008B2AFA" w:rsidRPr="008B2AFA" w:rsidRDefault="008B2AFA" w:rsidP="008B2AFA">
      <w:pPr>
        <w:numPr>
          <w:ilvl w:val="0"/>
          <w:numId w:val="3"/>
        </w:numPr>
        <w:spacing w:after="0" w:line="240" w:lineRule="auto"/>
        <w:rPr>
          <w:rFonts w:ascii="Arial" w:eastAsia="Calibri" w:hAnsi="Arial" w:cs="Arial"/>
          <w:sz w:val="24"/>
          <w:lang w:val="en-US"/>
        </w:rPr>
      </w:pPr>
      <w:r w:rsidRPr="008B2AFA">
        <w:rPr>
          <w:rFonts w:ascii="Arial" w:eastAsia="Calibri" w:hAnsi="Arial" w:cs="Arial"/>
          <w:i/>
          <w:iCs/>
          <w:sz w:val="24"/>
          <w:lang w:val="en-US"/>
        </w:rPr>
        <w:t xml:space="preserve">Concern raised in relation to the potential eutrophication effects from the release of nutrients. </w:t>
      </w:r>
    </w:p>
    <w:p w14:paraId="5C80EFBF" w14:textId="77777777" w:rsidR="008B2AFA" w:rsidRPr="008B2AFA" w:rsidRDefault="008B2AFA" w:rsidP="008B2AFA">
      <w:pPr>
        <w:spacing w:after="0" w:line="240" w:lineRule="auto"/>
        <w:rPr>
          <w:rFonts w:ascii="Arial" w:eastAsia="Calibri" w:hAnsi="Arial" w:cs="Arial"/>
          <w:sz w:val="24"/>
          <w:lang w:val="en-US"/>
        </w:rPr>
      </w:pPr>
    </w:p>
    <w:p w14:paraId="597A6720" w14:textId="77777777" w:rsidR="008B2AFA" w:rsidRPr="008B2AFA" w:rsidRDefault="008B2AFA" w:rsidP="008B2AFA">
      <w:pPr>
        <w:spacing w:after="0" w:line="240" w:lineRule="auto"/>
        <w:rPr>
          <w:rFonts w:ascii="Arial" w:eastAsia="Calibri" w:hAnsi="Arial" w:cs="Arial"/>
          <w:sz w:val="24"/>
          <w:lang w:val="en-US"/>
        </w:rPr>
      </w:pPr>
      <w:r w:rsidRPr="008B2AFA">
        <w:rPr>
          <w:rFonts w:ascii="Arial" w:eastAsia="Calibri" w:hAnsi="Arial" w:cs="Arial"/>
          <w:sz w:val="24"/>
          <w:lang w:val="en-US"/>
        </w:rPr>
        <w:t>The EA has conducted assessments on the potential eutrophication and impacts from potentially beached dead biota.</w:t>
      </w:r>
    </w:p>
    <w:p w14:paraId="47D31050" w14:textId="77777777" w:rsidR="008B2AFA" w:rsidRPr="008B2AFA" w:rsidRDefault="008B2AFA" w:rsidP="008B2AFA">
      <w:pPr>
        <w:spacing w:after="0" w:line="240" w:lineRule="auto"/>
        <w:rPr>
          <w:rFonts w:ascii="Arial" w:eastAsia="Calibri" w:hAnsi="Arial" w:cs="Arial"/>
          <w:sz w:val="24"/>
          <w:lang w:val="en-US"/>
        </w:rPr>
      </w:pPr>
    </w:p>
    <w:p w14:paraId="0725B72A" w14:textId="77777777" w:rsidR="008B2AFA" w:rsidRPr="008B2AFA" w:rsidRDefault="008B2AFA" w:rsidP="008B2AFA">
      <w:pPr>
        <w:numPr>
          <w:ilvl w:val="0"/>
          <w:numId w:val="3"/>
        </w:numPr>
        <w:spacing w:after="0" w:line="240" w:lineRule="auto"/>
        <w:rPr>
          <w:rFonts w:ascii="Arial" w:eastAsia="Calibri" w:hAnsi="Arial" w:cs="Arial"/>
          <w:i/>
          <w:iCs/>
          <w:sz w:val="24"/>
          <w:lang w:val="en-US"/>
        </w:rPr>
      </w:pPr>
      <w:r w:rsidRPr="008B2AFA">
        <w:rPr>
          <w:rFonts w:ascii="Arial" w:eastAsia="Calibri" w:hAnsi="Arial" w:cs="Arial"/>
          <w:i/>
          <w:iCs/>
          <w:sz w:val="24"/>
          <w:lang w:val="en-US"/>
        </w:rPr>
        <w:lastRenderedPageBreak/>
        <w:t xml:space="preserve">Assurance in relation to consultation with Natural England </w:t>
      </w:r>
    </w:p>
    <w:p w14:paraId="4CF08187" w14:textId="77777777" w:rsidR="008B2AFA" w:rsidRPr="008B2AFA" w:rsidRDefault="008B2AFA" w:rsidP="008B2AFA">
      <w:pPr>
        <w:spacing w:after="0" w:line="240" w:lineRule="auto"/>
        <w:rPr>
          <w:rFonts w:ascii="Arial" w:eastAsia="Calibri" w:hAnsi="Arial" w:cs="Arial"/>
          <w:i/>
          <w:iCs/>
          <w:sz w:val="24"/>
          <w:lang w:val="en-US"/>
        </w:rPr>
      </w:pPr>
    </w:p>
    <w:p w14:paraId="41A5E585" w14:textId="77777777" w:rsidR="008B2AFA" w:rsidRPr="008B2AFA" w:rsidRDefault="008B2AFA" w:rsidP="008B2AFA">
      <w:pPr>
        <w:spacing w:after="0" w:line="240" w:lineRule="auto"/>
        <w:rPr>
          <w:rFonts w:ascii="Arial" w:eastAsia="Calibri" w:hAnsi="Arial" w:cs="Arial"/>
          <w:sz w:val="24"/>
          <w:lang w:val="en-US"/>
        </w:rPr>
      </w:pPr>
      <w:r w:rsidRPr="008B2AFA">
        <w:rPr>
          <w:rFonts w:ascii="Arial" w:eastAsia="Calibri" w:hAnsi="Arial" w:cs="Arial"/>
          <w:sz w:val="24"/>
          <w:lang w:val="en-US"/>
        </w:rPr>
        <w:t xml:space="preserve">The consultation material confirms that both Natural England and Natural Resources Wales have been consulted on the permit variation application and that their comments have been </w:t>
      </w:r>
      <w:proofErr w:type="gramStart"/>
      <w:r w:rsidRPr="008B2AFA">
        <w:rPr>
          <w:rFonts w:ascii="Arial" w:eastAsia="Calibri" w:hAnsi="Arial" w:cs="Arial"/>
          <w:sz w:val="24"/>
          <w:lang w:val="en-US"/>
        </w:rPr>
        <w:t>taken into account</w:t>
      </w:r>
      <w:proofErr w:type="gramEnd"/>
      <w:r w:rsidRPr="008B2AFA">
        <w:rPr>
          <w:rFonts w:ascii="Arial" w:eastAsia="Calibri" w:hAnsi="Arial" w:cs="Arial"/>
          <w:sz w:val="24"/>
          <w:lang w:val="en-US"/>
        </w:rPr>
        <w:t xml:space="preserve"> in the production of the HRA. </w:t>
      </w:r>
    </w:p>
    <w:p w14:paraId="1462F21D" w14:textId="77777777" w:rsidR="008B2AFA" w:rsidRPr="008B2AFA" w:rsidRDefault="008B2AFA" w:rsidP="008B2AFA">
      <w:pPr>
        <w:spacing w:after="0" w:line="240" w:lineRule="auto"/>
        <w:rPr>
          <w:rFonts w:ascii="Arial" w:eastAsia="Calibri" w:hAnsi="Arial" w:cs="Arial"/>
          <w:sz w:val="24"/>
          <w:lang w:val="en-US"/>
        </w:rPr>
      </w:pPr>
    </w:p>
    <w:p w14:paraId="32EF115C" w14:textId="77777777" w:rsidR="008B2AFA" w:rsidRPr="008B2AFA" w:rsidRDefault="008B2AFA" w:rsidP="008B2AFA">
      <w:pPr>
        <w:spacing w:after="0" w:line="240" w:lineRule="auto"/>
        <w:rPr>
          <w:rFonts w:ascii="Arial" w:eastAsia="Calibri" w:hAnsi="Arial" w:cs="Arial"/>
          <w:b/>
          <w:bCs/>
          <w:sz w:val="24"/>
        </w:rPr>
      </w:pPr>
      <w:r w:rsidRPr="008B2AFA">
        <w:rPr>
          <w:rFonts w:ascii="Arial" w:eastAsia="Calibri" w:hAnsi="Arial" w:cs="Arial"/>
          <w:b/>
          <w:bCs/>
          <w:sz w:val="24"/>
        </w:rPr>
        <w:t xml:space="preserve">Next Steps: - </w:t>
      </w:r>
      <w:r w:rsidRPr="008B2AFA">
        <w:rPr>
          <w:rFonts w:ascii="Arial" w:eastAsia="Calibri" w:hAnsi="Arial" w:cs="Arial"/>
          <w:sz w:val="24"/>
        </w:rPr>
        <w:t>If the variation to the permit is granted by the EA, the permit will not require the applicant to submit reports to the EA describing how their proposed AFD will operate or demonstrate that it will be optimised. This does not remove the need to install or operate the power station with an AFD, as this currently remains a requirement under the DCO and the Marine Licence.</w:t>
      </w:r>
    </w:p>
    <w:p w14:paraId="1879D38F" w14:textId="77777777" w:rsidR="008B2AFA" w:rsidRPr="008B2AFA" w:rsidRDefault="008B2AFA" w:rsidP="008B2AFA">
      <w:pPr>
        <w:spacing w:after="0" w:line="240" w:lineRule="auto"/>
        <w:rPr>
          <w:rFonts w:ascii="Arial" w:eastAsia="Calibri" w:hAnsi="Arial" w:cs="Arial"/>
          <w:b/>
          <w:bCs/>
          <w:sz w:val="24"/>
        </w:rPr>
      </w:pPr>
    </w:p>
    <w:p w14:paraId="14B5E653" w14:textId="77777777" w:rsidR="008B2AFA" w:rsidRPr="008B2AFA" w:rsidRDefault="008B2AFA" w:rsidP="008B2AFA">
      <w:pPr>
        <w:spacing w:after="0" w:line="240" w:lineRule="auto"/>
        <w:rPr>
          <w:rFonts w:ascii="Arial" w:eastAsia="Calibri" w:hAnsi="Arial" w:cs="Arial"/>
          <w:b/>
          <w:bCs/>
          <w:sz w:val="24"/>
        </w:rPr>
      </w:pPr>
      <w:r w:rsidRPr="008B2AFA">
        <w:rPr>
          <w:rFonts w:ascii="Arial" w:eastAsia="Calibri" w:hAnsi="Arial" w:cs="Arial"/>
          <w:sz w:val="24"/>
        </w:rPr>
        <w:t xml:space="preserve">An application will therefore be submitted to the Secretary of State by NNB Generating Company to vary the HPC Development Consent Order (DCO) to, amongst other things, remove the requirement to install an AFD. The DCO application will be accompanied by an application to the MMO to vary the main HPC Marine Licence to remove the requirements for the AFD. These applications will include full assessments of impacts related to the abstraction of seawater and will include an appropriate package of compensation to account for potential impacts on relevant protected sites and features; this is likely to be aimed at habitat enhancement. </w:t>
      </w:r>
    </w:p>
    <w:p w14:paraId="2151BBAC" w14:textId="77777777" w:rsidR="008B2AFA" w:rsidRPr="008B2AFA" w:rsidRDefault="008B2AFA" w:rsidP="008B2AFA">
      <w:pPr>
        <w:spacing w:after="0" w:line="240" w:lineRule="auto"/>
        <w:rPr>
          <w:rFonts w:ascii="Arial" w:eastAsia="Calibri" w:hAnsi="Arial" w:cs="Arial"/>
          <w:sz w:val="24"/>
        </w:rPr>
      </w:pPr>
    </w:p>
    <w:p w14:paraId="57996DD4" w14:textId="77777777" w:rsidR="008B2AFA" w:rsidRPr="008B2AFA" w:rsidRDefault="008B2AFA" w:rsidP="008B2AFA">
      <w:pPr>
        <w:spacing w:after="0" w:line="240" w:lineRule="auto"/>
        <w:rPr>
          <w:rFonts w:ascii="Arial" w:eastAsia="Calibri" w:hAnsi="Arial" w:cs="Arial"/>
          <w:sz w:val="24"/>
        </w:rPr>
      </w:pPr>
      <w:r w:rsidRPr="008B2AFA">
        <w:rPr>
          <w:rFonts w:ascii="Arial" w:eastAsia="Calibri" w:hAnsi="Arial" w:cs="Arial"/>
          <w:b/>
          <w:bCs/>
          <w:sz w:val="24"/>
        </w:rPr>
        <w:t xml:space="preserve">Further information: - </w:t>
      </w:r>
      <w:r w:rsidRPr="008B2AFA">
        <w:rPr>
          <w:rFonts w:ascii="Arial" w:eastAsia="Calibri" w:hAnsi="Arial" w:cs="Arial"/>
          <w:sz w:val="24"/>
        </w:rPr>
        <w:t xml:space="preserve">If you wish to find out more about this application, please find below a link to the EA’s consultation portal which includes a summary of the application, and </w:t>
      </w:r>
      <w:proofErr w:type="gramStart"/>
      <w:r w:rsidRPr="008B2AFA">
        <w:rPr>
          <w:rFonts w:ascii="Arial" w:eastAsia="Calibri" w:hAnsi="Arial" w:cs="Arial"/>
          <w:sz w:val="24"/>
        </w:rPr>
        <w:t>all of</w:t>
      </w:r>
      <w:proofErr w:type="gramEnd"/>
      <w:r w:rsidRPr="008B2AFA">
        <w:rPr>
          <w:rFonts w:ascii="Arial" w:eastAsia="Calibri" w:hAnsi="Arial" w:cs="Arial"/>
          <w:sz w:val="24"/>
        </w:rPr>
        <w:t xml:space="preserve"> the application documentation: -</w:t>
      </w:r>
    </w:p>
    <w:p w14:paraId="34174EA2" w14:textId="77777777" w:rsidR="008B2AFA" w:rsidRPr="008B2AFA" w:rsidRDefault="008B2AFA" w:rsidP="008B2AFA">
      <w:pPr>
        <w:spacing w:after="0" w:line="240" w:lineRule="auto"/>
        <w:rPr>
          <w:rFonts w:ascii="Arial" w:eastAsia="Calibri" w:hAnsi="Arial" w:cs="Arial"/>
          <w:sz w:val="24"/>
        </w:rPr>
      </w:pPr>
    </w:p>
    <w:p w14:paraId="7D3076E9" w14:textId="77777777" w:rsidR="008B2AFA" w:rsidRPr="008B2AFA" w:rsidRDefault="00830098" w:rsidP="008B2AFA">
      <w:pPr>
        <w:spacing w:after="0" w:line="240" w:lineRule="auto"/>
        <w:rPr>
          <w:rFonts w:ascii="Arial" w:eastAsia="Calibri" w:hAnsi="Arial" w:cs="Arial"/>
          <w:sz w:val="24"/>
        </w:rPr>
      </w:pPr>
      <w:hyperlink r:id="rId7" w:history="1">
        <w:r w:rsidR="008B2AFA" w:rsidRPr="008B2AFA">
          <w:rPr>
            <w:rFonts w:ascii="Arial" w:eastAsia="Calibri" w:hAnsi="Arial" w:cs="Arial"/>
            <w:color w:val="0000FF"/>
            <w:sz w:val="24"/>
            <w:u w:val="single"/>
            <w:lang w:val="en-US"/>
          </w:rPr>
          <w:t>TA5 1UD, NNB Generation Company (HPC) Limited, EPR/HP3228XT/V005: environmental permit proposed decision advertisement - Environment Agency - Citizen Space (environment-agency.gov.uk)</w:t>
        </w:r>
      </w:hyperlink>
    </w:p>
    <w:p w14:paraId="67D7AAED" w14:textId="2DC1381B" w:rsidR="0071435F" w:rsidRPr="00B31317" w:rsidRDefault="0071435F" w:rsidP="0071435F">
      <w:pPr>
        <w:tabs>
          <w:tab w:val="left" w:pos="7590"/>
        </w:tabs>
        <w:rPr>
          <w:rFonts w:ascii="Arial" w:hAnsi="Arial" w:cs="Arial"/>
          <w:b/>
          <w:bCs/>
          <w:sz w:val="24"/>
          <w:szCs w:val="24"/>
        </w:rPr>
      </w:pPr>
      <w:r w:rsidRPr="00B31317">
        <w:rPr>
          <w:rFonts w:ascii="Arial" w:hAnsi="Arial" w:cs="Arial"/>
          <w:b/>
          <w:bCs/>
          <w:sz w:val="24"/>
          <w:szCs w:val="24"/>
        </w:rPr>
        <w:tab/>
      </w:r>
    </w:p>
    <w:sectPr w:rsidR="0071435F" w:rsidRPr="00B313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4A3E" w14:textId="77777777" w:rsidR="001F578F" w:rsidRDefault="001F578F" w:rsidP="0071435F">
      <w:pPr>
        <w:spacing w:after="0" w:line="240" w:lineRule="auto"/>
      </w:pPr>
      <w:r>
        <w:separator/>
      </w:r>
    </w:p>
  </w:endnote>
  <w:endnote w:type="continuationSeparator" w:id="0">
    <w:p w14:paraId="3A28582E" w14:textId="77777777" w:rsidR="001F578F" w:rsidRDefault="001F578F" w:rsidP="0071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6EED" w14:textId="77777777" w:rsidR="000403AF" w:rsidRDefault="0004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EEC9" w14:textId="5757058E" w:rsidR="0071435F" w:rsidRDefault="0071435F">
    <w:pPr>
      <w:pStyle w:val="Footer"/>
    </w:pPr>
    <w:r>
      <w:rPr>
        <w:rFonts w:ascii="Microsoft New Tai Lue" w:hAnsi="Microsoft New Tai Lue" w:cs="Microsoft New Tai Lue"/>
        <w:b/>
        <w:noProof/>
        <w:color w:val="A91347"/>
      </w:rPr>
      <w:drawing>
        <wp:anchor distT="0" distB="0" distL="114300" distR="114300" simplePos="0" relativeHeight="251661312" behindDoc="1" locked="1" layoutInCell="1" allowOverlap="1" wp14:anchorId="407CEAA2" wp14:editId="4AF4BCDF">
          <wp:simplePos x="0" y="0"/>
          <wp:positionH relativeFrom="column">
            <wp:posOffset>-720725</wp:posOffset>
          </wp:positionH>
          <wp:positionV relativeFrom="page">
            <wp:posOffset>9871710</wp:posOffset>
          </wp:positionV>
          <wp:extent cx="7112000" cy="685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12000" cy="6851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9F32" w14:textId="77777777" w:rsidR="000403AF" w:rsidRDefault="0004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FDFC" w14:textId="77777777" w:rsidR="001F578F" w:rsidRDefault="001F578F" w:rsidP="0071435F">
      <w:pPr>
        <w:spacing w:after="0" w:line="240" w:lineRule="auto"/>
      </w:pPr>
      <w:r>
        <w:separator/>
      </w:r>
    </w:p>
  </w:footnote>
  <w:footnote w:type="continuationSeparator" w:id="0">
    <w:p w14:paraId="178A4728" w14:textId="77777777" w:rsidR="001F578F" w:rsidRDefault="001F578F" w:rsidP="00714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7E1" w14:textId="77777777" w:rsidR="000403AF" w:rsidRDefault="0004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A384" w14:textId="77777777" w:rsidR="0071435F" w:rsidRPr="001D1EA9" w:rsidRDefault="0071435F" w:rsidP="0071435F">
    <w:pPr>
      <w:pStyle w:val="Header"/>
      <w:ind w:left="-851" w:firstLine="142"/>
      <w:rPr>
        <w:rStyle w:val="Style8"/>
        <w:color w:val="006072"/>
      </w:rPr>
    </w:pPr>
    <w:r w:rsidRPr="001D1EA9">
      <w:rPr>
        <w:rStyle w:val="Style8"/>
        <w:color w:val="006072"/>
      </w:rPr>
      <w:t>Somerset Council</w:t>
    </w:r>
  </w:p>
  <w:p w14:paraId="2141DC9E" w14:textId="77777777" w:rsidR="0071435F" w:rsidRPr="000403AF" w:rsidRDefault="0071435F" w:rsidP="0071435F">
    <w:pPr>
      <w:pStyle w:val="Header"/>
      <w:ind w:left="-851" w:firstLine="142"/>
      <w:rPr>
        <w:rStyle w:val="Style8"/>
        <w:b w:val="0"/>
        <w:color w:val="385623" w:themeColor="accent6" w:themeShade="80"/>
      </w:rPr>
    </w:pPr>
    <w:r w:rsidRPr="000403AF">
      <w:rPr>
        <w:rStyle w:val="Style8"/>
        <w:color w:val="385623" w:themeColor="accent6" w:themeShade="80"/>
      </w:rPr>
      <w:t>County Hall, Taunton</w:t>
    </w:r>
  </w:p>
  <w:p w14:paraId="76B94ED2" w14:textId="77777777" w:rsidR="0071435F" w:rsidRPr="000403AF" w:rsidRDefault="0071435F" w:rsidP="0071435F">
    <w:pPr>
      <w:pStyle w:val="Header"/>
      <w:ind w:left="-851" w:firstLine="142"/>
      <w:rPr>
        <w:rStyle w:val="Style8"/>
        <w:b w:val="0"/>
        <w:color w:val="385623" w:themeColor="accent6" w:themeShade="80"/>
      </w:rPr>
    </w:pPr>
    <w:r w:rsidRPr="000403AF">
      <w:rPr>
        <w:rStyle w:val="Style8"/>
        <w:color w:val="385623" w:themeColor="accent6" w:themeShade="80"/>
      </w:rPr>
      <w:t>Somerset, TA1 4DY</w:t>
    </w:r>
  </w:p>
  <w:p w14:paraId="6CEA1206" w14:textId="2EC1F0EE" w:rsidR="0071435F" w:rsidRDefault="0071435F" w:rsidP="0071435F">
    <w:pPr>
      <w:pStyle w:val="Header"/>
      <w:tabs>
        <w:tab w:val="right" w:pos="8534"/>
      </w:tabs>
    </w:pPr>
    <w:r>
      <w:tab/>
    </w:r>
    <w:r>
      <w:tab/>
    </w:r>
    <w:r w:rsidRPr="00DD0C45">
      <w:rPr>
        <w:b/>
        <w:noProof/>
        <w:color w:val="C73672"/>
        <w:szCs w:val="16"/>
      </w:rPr>
      <w:drawing>
        <wp:anchor distT="0" distB="0" distL="114300" distR="114300" simplePos="0" relativeHeight="251659264" behindDoc="0" locked="0" layoutInCell="1" allowOverlap="1" wp14:anchorId="4A0C7D59" wp14:editId="5738C466">
          <wp:simplePos x="0" y="0"/>
          <wp:positionH relativeFrom="column">
            <wp:posOffset>5381625</wp:posOffset>
          </wp:positionH>
          <wp:positionV relativeFrom="page">
            <wp:posOffset>114935</wp:posOffset>
          </wp:positionV>
          <wp:extent cx="1093470" cy="1242695"/>
          <wp:effectExtent l="0" t="0" r="0" b="0"/>
          <wp:wrapThrough wrapText="bothSides">
            <wp:wrapPolygon edited="0">
              <wp:start x="7150" y="1324"/>
              <wp:lineTo x="3010" y="6291"/>
              <wp:lineTo x="3010" y="7616"/>
              <wp:lineTo x="5268" y="12583"/>
              <wp:lineTo x="1882" y="14238"/>
              <wp:lineTo x="1882" y="16556"/>
              <wp:lineTo x="4892" y="17880"/>
              <wp:lineTo x="5268" y="19867"/>
              <wp:lineTo x="16557" y="19867"/>
              <wp:lineTo x="16181" y="17880"/>
              <wp:lineTo x="19568" y="16556"/>
              <wp:lineTo x="19192" y="14238"/>
              <wp:lineTo x="15429" y="12583"/>
              <wp:lineTo x="18439" y="6954"/>
              <wp:lineTo x="16557" y="5298"/>
              <wp:lineTo x="10537" y="1324"/>
              <wp:lineTo x="7150" y="1324"/>
            </wp:wrapPolygon>
          </wp:wrapThrough>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470" cy="12426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D52B" w14:textId="77777777" w:rsidR="000403AF" w:rsidRDefault="00040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36F2D"/>
    <w:multiLevelType w:val="hybridMultilevel"/>
    <w:tmpl w:val="EBC6A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ED4118"/>
    <w:multiLevelType w:val="hybridMultilevel"/>
    <w:tmpl w:val="FEA49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847302"/>
    <w:multiLevelType w:val="hybridMultilevel"/>
    <w:tmpl w:val="E42E46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310402172">
    <w:abstractNumId w:val="1"/>
  </w:num>
  <w:num w:numId="2" w16cid:durableId="1396589631">
    <w:abstractNumId w:val="2"/>
  </w:num>
  <w:num w:numId="3" w16cid:durableId="1588341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5F"/>
    <w:rsid w:val="000403AF"/>
    <w:rsid w:val="001F37B6"/>
    <w:rsid w:val="001F578F"/>
    <w:rsid w:val="00277F1A"/>
    <w:rsid w:val="00424022"/>
    <w:rsid w:val="004D4818"/>
    <w:rsid w:val="004F3367"/>
    <w:rsid w:val="005504D1"/>
    <w:rsid w:val="006020A0"/>
    <w:rsid w:val="00602348"/>
    <w:rsid w:val="0071435F"/>
    <w:rsid w:val="00830098"/>
    <w:rsid w:val="008B21BD"/>
    <w:rsid w:val="008B2AFA"/>
    <w:rsid w:val="00987DC3"/>
    <w:rsid w:val="009E4A69"/>
    <w:rsid w:val="00B31317"/>
    <w:rsid w:val="00B661F4"/>
    <w:rsid w:val="00CF2068"/>
    <w:rsid w:val="00D36F11"/>
    <w:rsid w:val="00D43781"/>
    <w:rsid w:val="00DC5D07"/>
    <w:rsid w:val="00DD6339"/>
    <w:rsid w:val="00DE71FC"/>
    <w:rsid w:val="00E07A2F"/>
    <w:rsid w:val="00E93BD9"/>
    <w:rsid w:val="00F2298E"/>
    <w:rsid w:val="00F7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B257"/>
  <w15:chartTrackingRefBased/>
  <w15:docId w15:val="{E0FBAB7E-D3A2-4F5F-BB3F-478B028E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35F"/>
  </w:style>
  <w:style w:type="paragraph" w:styleId="Footer">
    <w:name w:val="footer"/>
    <w:basedOn w:val="Normal"/>
    <w:link w:val="FooterChar"/>
    <w:uiPriority w:val="99"/>
    <w:unhideWhenUsed/>
    <w:rsid w:val="0071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35F"/>
  </w:style>
  <w:style w:type="character" w:customStyle="1" w:styleId="Style8">
    <w:name w:val="Style8"/>
    <w:basedOn w:val="DefaultParagraphFont"/>
    <w:uiPriority w:val="1"/>
    <w:rsid w:val="0071435F"/>
    <w:rPr>
      <w:rFonts w:ascii="Arial" w:hAnsi="Arial"/>
      <w:b/>
      <w:color w:val="A91347"/>
      <w:sz w:val="24"/>
    </w:rPr>
  </w:style>
  <w:style w:type="table" w:styleId="TableGrid">
    <w:name w:val="Table Grid"/>
    <w:basedOn w:val="TableNormal"/>
    <w:uiPriority w:val="39"/>
    <w:rsid w:val="0071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35F"/>
    <w:rPr>
      <w:color w:val="0563C1" w:themeColor="hyperlink"/>
      <w:u w:val="single"/>
    </w:rPr>
  </w:style>
  <w:style w:type="paragraph" w:customStyle="1" w:styleId="paragraph">
    <w:name w:val="paragraph"/>
    <w:basedOn w:val="Normal"/>
    <w:rsid w:val="0071435F"/>
    <w:pPr>
      <w:spacing w:before="100" w:beforeAutospacing="1" w:after="100" w:afterAutospacing="1" w:line="240" w:lineRule="auto"/>
    </w:pPr>
    <w:rPr>
      <w:rFonts w:ascii="Calibri" w:eastAsia="Times New Roman" w:hAnsi="Calibri" w:cs="Calibri"/>
      <w:lang w:eastAsia="en-GB"/>
    </w:rPr>
  </w:style>
  <w:style w:type="character" w:customStyle="1" w:styleId="normaltextrun">
    <w:name w:val="normaltextrun"/>
    <w:basedOn w:val="DefaultParagraphFont"/>
    <w:rsid w:val="0071435F"/>
  </w:style>
  <w:style w:type="character" w:customStyle="1" w:styleId="eop">
    <w:name w:val="eop"/>
    <w:basedOn w:val="DefaultParagraphFont"/>
    <w:rsid w:val="007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nsult.environment-agency.gov.uk/psc/ta5-1ud-hinkley-point-c-v005-proposed-decision/"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A1E2E933-D8C4-4C1B-A6D2-8704C449B0F4}"/>
</file>

<file path=customXml/itemProps2.xml><?xml version="1.0" encoding="utf-8"?>
<ds:datastoreItem xmlns:ds="http://schemas.openxmlformats.org/officeDocument/2006/customXml" ds:itemID="{90094480-7C4E-43FD-87F7-2CAA35EBDD32}"/>
</file>

<file path=customXml/itemProps3.xml><?xml version="1.0" encoding="utf-8"?>
<ds:datastoreItem xmlns:ds="http://schemas.openxmlformats.org/officeDocument/2006/customXml" ds:itemID="{0825931E-0A6E-4035-AA2F-FC92CA960396}"/>
</file>

<file path=customXml/itemProps4.xml><?xml version="1.0" encoding="utf-8"?>
<ds:datastoreItem xmlns:ds="http://schemas.openxmlformats.org/officeDocument/2006/customXml" ds:itemID="{2C0C1DD3-F1E7-4383-B176-72F61FA80081}"/>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9</TotalTime>
  <Pages>4</Pages>
  <Words>1066</Words>
  <Characters>6082</Characters>
  <Application>Microsoft Office Word</Application>
  <DocSecurity>4</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Hallows</dc:creator>
  <cp:keywords/>
  <dc:description/>
  <cp:lastModifiedBy>Jonathan Hallows</cp:lastModifiedBy>
  <cp:revision>2</cp:revision>
  <dcterms:created xsi:type="dcterms:W3CDTF">2023-05-25T07:21:00Z</dcterms:created>
  <dcterms:modified xsi:type="dcterms:W3CDTF">2023-05-25T07:21:00Z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