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D7508" w14:textId="08BC8CCE" w:rsidR="00E07A2F" w:rsidRDefault="00E07A2F"/>
    <w:p w14:paraId="2B4664D0" w14:textId="77777777" w:rsidR="0071435F" w:rsidRDefault="0071435F" w:rsidP="0071435F">
      <w:pPr>
        <w:tabs>
          <w:tab w:val="left" w:pos="7590"/>
        </w:tabs>
        <w:rPr>
          <w:rFonts w:ascii="Atkinson Hyperlegible" w:hAnsi="Atkinson Hyperlegible"/>
          <w:b/>
          <w:bCs/>
          <w:sz w:val="72"/>
          <w:szCs w:val="72"/>
        </w:rPr>
      </w:pPr>
      <w:r w:rsidRPr="0071435F">
        <w:rPr>
          <w:rFonts w:ascii="Atkinson Hyperlegible" w:hAnsi="Atkinson Hyperlegible"/>
          <w:b/>
          <w:bCs/>
          <w:noProof/>
          <w:sz w:val="72"/>
          <w:szCs w:val="72"/>
        </w:rPr>
        <mc:AlternateContent>
          <mc:Choice Requires="wps">
            <w:drawing>
              <wp:anchor distT="0" distB="0" distL="114300" distR="114300" simplePos="0" relativeHeight="251658240" behindDoc="0" locked="0" layoutInCell="1" allowOverlap="1" wp14:anchorId="1E3FA90D" wp14:editId="7BD773B8">
                <wp:simplePos x="0" y="0"/>
                <wp:positionH relativeFrom="column">
                  <wp:posOffset>4933950</wp:posOffset>
                </wp:positionH>
                <wp:positionV relativeFrom="paragraph">
                  <wp:posOffset>6985</wp:posOffset>
                </wp:positionV>
                <wp:extent cx="1457325" cy="733425"/>
                <wp:effectExtent l="0" t="0" r="28575"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733425"/>
                        </a:xfrm>
                        <a:prstGeom prst="rect">
                          <a:avLst/>
                        </a:prstGeom>
                        <a:solidFill>
                          <a:srgbClr val="FFFFFF"/>
                        </a:solidFill>
                        <a:ln w="9525">
                          <a:solidFill>
                            <a:srgbClr val="000000"/>
                          </a:solidFill>
                          <a:miter lim="800000"/>
                          <a:headEnd/>
                          <a:tailEnd/>
                        </a:ln>
                      </wps:spPr>
                      <wps:txbx>
                        <w:txbxContent>
                          <w:p w14:paraId="64ED7A0A" w14:textId="77777777" w:rsidR="0071435F" w:rsidRDefault="0071435F" w:rsidP="0071435F">
                            <w:r>
                              <w:t>Sheet Number:</w:t>
                            </w:r>
                          </w:p>
                          <w:p w14:paraId="056FC4A7" w14:textId="09E70916" w:rsidR="0071435F" w:rsidRPr="00281DA6" w:rsidRDefault="0071435F" w:rsidP="0071435F">
                            <w:pPr>
                              <w:rPr>
                                <w:color w:val="000000"/>
                                <w:sz w:val="32"/>
                                <w:szCs w:val="32"/>
                              </w:rPr>
                            </w:pPr>
                            <w:r w:rsidRPr="00281DA6">
                              <w:rPr>
                                <w:color w:val="000000"/>
                                <w:sz w:val="32"/>
                                <w:szCs w:val="32"/>
                              </w:rPr>
                              <w:t>20</w:t>
                            </w:r>
                            <w:r>
                              <w:rPr>
                                <w:color w:val="000000"/>
                                <w:sz w:val="32"/>
                                <w:szCs w:val="32"/>
                              </w:rPr>
                              <w:t>22</w:t>
                            </w:r>
                            <w:r w:rsidRPr="00281DA6">
                              <w:rPr>
                                <w:color w:val="000000"/>
                                <w:sz w:val="32"/>
                                <w:szCs w:val="32"/>
                              </w:rPr>
                              <w:t>-</w:t>
                            </w:r>
                            <w:r>
                              <w:rPr>
                                <w:color w:val="000000"/>
                                <w:sz w:val="32"/>
                                <w:szCs w:val="32"/>
                              </w:rPr>
                              <w:t>27</w:t>
                            </w:r>
                            <w:r w:rsidR="009E4A69">
                              <w:rPr>
                                <w:color w:val="000000"/>
                                <w:sz w:val="32"/>
                                <w:szCs w:val="32"/>
                              </w:rPr>
                              <w:t>/</w:t>
                            </w:r>
                            <w:r w:rsidR="00F03DF8">
                              <w:rPr>
                                <w:color w:val="000000"/>
                                <w:sz w:val="32"/>
                                <w:szCs w:val="32"/>
                              </w:rPr>
                              <w:t>5</w:t>
                            </w:r>
                            <w:r w:rsidR="004F16D7">
                              <w:rPr>
                                <w:color w:val="000000"/>
                                <w:sz w:val="32"/>
                                <w:szCs w:val="3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3FA90D" id="_x0000_t202" coordsize="21600,21600" o:spt="202" path="m,l,21600r21600,l21600,xe">
                <v:stroke joinstyle="miter"/>
                <v:path gradientshapeok="t" o:connecttype="rect"/>
              </v:shapetype>
              <v:shape id="Text Box 1" o:spid="_x0000_s1026" type="#_x0000_t202" style="position:absolute;margin-left:388.5pt;margin-top:.55pt;width:114.75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">
                <v:textbox>
                  <w:txbxContent>
                    <w:p w14:paraId="64ED7A0A" w14:textId="77777777" w:rsidR="0071435F" w:rsidRDefault="0071435F" w:rsidP="0071435F">
                      <w:r>
                        <w:t>Sheet Number:</w:t>
                      </w:r>
                    </w:p>
                    <w:p w14:paraId="056FC4A7" w14:textId="09E70916" w:rsidR="0071435F" w:rsidRPr="00281DA6" w:rsidRDefault="0071435F" w:rsidP="0071435F">
                      <w:pPr>
                        <w:rPr>
                          <w:color w:val="000000"/>
                          <w:sz w:val="32"/>
                          <w:szCs w:val="32"/>
                        </w:rPr>
                      </w:pPr>
                      <w:r w:rsidRPr="00281DA6">
                        <w:rPr>
                          <w:color w:val="000000"/>
                          <w:sz w:val="32"/>
                          <w:szCs w:val="32"/>
                        </w:rPr>
                        <w:t>20</w:t>
                      </w:r>
                      <w:r>
                        <w:rPr>
                          <w:color w:val="000000"/>
                          <w:sz w:val="32"/>
                          <w:szCs w:val="32"/>
                        </w:rPr>
                        <w:t>22</w:t>
                      </w:r>
                      <w:r w:rsidRPr="00281DA6">
                        <w:rPr>
                          <w:color w:val="000000"/>
                          <w:sz w:val="32"/>
                          <w:szCs w:val="32"/>
                        </w:rPr>
                        <w:t>-</w:t>
                      </w:r>
                      <w:r>
                        <w:rPr>
                          <w:color w:val="000000"/>
                          <w:sz w:val="32"/>
                          <w:szCs w:val="32"/>
                        </w:rPr>
                        <w:t>27</w:t>
                      </w:r>
                      <w:r w:rsidR="009E4A69">
                        <w:rPr>
                          <w:color w:val="000000"/>
                          <w:sz w:val="32"/>
                          <w:szCs w:val="32"/>
                        </w:rPr>
                        <w:t>/</w:t>
                      </w:r>
                      <w:r w:rsidR="00F03DF8">
                        <w:rPr>
                          <w:color w:val="000000"/>
                          <w:sz w:val="32"/>
                          <w:szCs w:val="32"/>
                        </w:rPr>
                        <w:t>5</w:t>
                      </w:r>
                      <w:r w:rsidR="004F16D7">
                        <w:rPr>
                          <w:color w:val="000000"/>
                          <w:sz w:val="32"/>
                          <w:szCs w:val="32"/>
                        </w:rPr>
                        <w:t>6</w:t>
                      </w:r>
                    </w:p>
                  </w:txbxContent>
                </v:textbox>
                <w10:wrap type="square"/>
              </v:shape>
            </w:pict>
          </mc:Fallback>
        </mc:AlternateContent>
      </w:r>
      <w:r w:rsidRPr="0071435F">
        <w:rPr>
          <w:rFonts w:ascii="Atkinson Hyperlegible" w:hAnsi="Atkinson Hyperlegible"/>
          <w:b/>
          <w:bCs/>
          <w:sz w:val="72"/>
          <w:szCs w:val="72"/>
        </w:rPr>
        <w:t>Information for Unitary Councillors</w:t>
      </w:r>
    </w:p>
    <w:tbl>
      <w:tblPr>
        <w:tblStyle w:val="TableGrid"/>
        <w:tblW w:w="0" w:type="auto"/>
        <w:tblLook w:val="04A0" w:firstRow="1" w:lastRow="0" w:firstColumn="1" w:lastColumn="0" w:noHBand="0" w:noVBand="1"/>
      </w:tblPr>
      <w:tblGrid>
        <w:gridCol w:w="1555"/>
        <w:gridCol w:w="7461"/>
      </w:tblGrid>
      <w:tr w:rsidR="0071435F" w14:paraId="7FD4E8F1" w14:textId="77777777" w:rsidTr="0071435F">
        <w:tc>
          <w:tcPr>
            <w:tcW w:w="1555" w:type="dxa"/>
          </w:tcPr>
          <w:p w14:paraId="334305BB" w14:textId="090F092A" w:rsidR="0071435F" w:rsidRDefault="0071435F" w:rsidP="0071435F">
            <w:pPr>
              <w:tabs>
                <w:tab w:val="left" w:pos="7590"/>
              </w:tabs>
              <w:rPr>
                <w:rFonts w:ascii="Atkinson Hyperlegible" w:hAnsi="Atkinson Hyperlegible"/>
                <w:b/>
                <w:bCs/>
              </w:rPr>
            </w:pPr>
            <w:r>
              <w:rPr>
                <w:rFonts w:ascii="Atkinson Hyperlegible" w:hAnsi="Atkinson Hyperlegible"/>
                <w:b/>
                <w:bCs/>
              </w:rPr>
              <w:t>From:</w:t>
            </w:r>
          </w:p>
        </w:tc>
        <w:tc>
          <w:tcPr>
            <w:tcW w:w="7461" w:type="dxa"/>
          </w:tcPr>
          <w:p w14:paraId="2D3FB379" w14:textId="24296D11" w:rsidR="0071435F" w:rsidRDefault="002B18A6" w:rsidP="0071435F">
            <w:pPr>
              <w:tabs>
                <w:tab w:val="left" w:pos="7590"/>
              </w:tabs>
              <w:rPr>
                <w:rFonts w:ascii="Atkinson Hyperlegible" w:hAnsi="Atkinson Hyperlegible"/>
                <w:b/>
                <w:bCs/>
              </w:rPr>
            </w:pPr>
            <w:r>
              <w:rPr>
                <w:rFonts w:ascii="Atkinson Hyperlegible" w:hAnsi="Atkinson Hyperlegible"/>
                <w:b/>
                <w:bCs/>
              </w:rPr>
              <w:t>Nick Tait</w:t>
            </w:r>
          </w:p>
        </w:tc>
      </w:tr>
    </w:tbl>
    <w:p w14:paraId="314A540E" w14:textId="77777777" w:rsidR="0071435F" w:rsidRDefault="0071435F" w:rsidP="0071435F">
      <w:pPr>
        <w:tabs>
          <w:tab w:val="left" w:pos="7590"/>
        </w:tabs>
        <w:rPr>
          <w:rFonts w:ascii="Atkinson Hyperlegible" w:hAnsi="Atkinson Hyperlegible"/>
          <w:b/>
          <w:bCs/>
        </w:rPr>
      </w:pPr>
    </w:p>
    <w:tbl>
      <w:tblPr>
        <w:tblStyle w:val="TableGrid"/>
        <w:tblW w:w="16052" w:type="dxa"/>
        <w:tblLook w:val="04A0" w:firstRow="1" w:lastRow="0" w:firstColumn="1" w:lastColumn="0" w:noHBand="0" w:noVBand="1"/>
      </w:tblPr>
      <w:tblGrid>
        <w:gridCol w:w="1980"/>
        <w:gridCol w:w="7036"/>
        <w:gridCol w:w="7036"/>
      </w:tblGrid>
      <w:tr w:rsidR="00255B6C" w14:paraId="0962386D" w14:textId="77777777" w:rsidTr="00255B6C">
        <w:tc>
          <w:tcPr>
            <w:tcW w:w="1980" w:type="dxa"/>
          </w:tcPr>
          <w:p w14:paraId="76E0C477" w14:textId="7580C0C5" w:rsidR="00255B6C" w:rsidRDefault="00255B6C" w:rsidP="00255B6C">
            <w:pPr>
              <w:tabs>
                <w:tab w:val="left" w:pos="7590"/>
              </w:tabs>
              <w:rPr>
                <w:rFonts w:ascii="Atkinson Hyperlegible" w:hAnsi="Atkinson Hyperlegible"/>
                <w:b/>
                <w:bCs/>
              </w:rPr>
            </w:pPr>
            <w:r>
              <w:rPr>
                <w:rFonts w:ascii="Atkinson Hyperlegible" w:hAnsi="Atkinson Hyperlegible"/>
                <w:b/>
                <w:bCs/>
              </w:rPr>
              <w:t>Relevant ELT Director and sign-off date:</w:t>
            </w:r>
          </w:p>
        </w:tc>
        <w:tc>
          <w:tcPr>
            <w:tcW w:w="7036" w:type="dxa"/>
          </w:tcPr>
          <w:p w14:paraId="1E32B1CB" w14:textId="18555125" w:rsidR="00255B6C" w:rsidRDefault="00E322E2" w:rsidP="00255B6C">
            <w:pPr>
              <w:tabs>
                <w:tab w:val="left" w:pos="7590"/>
              </w:tabs>
              <w:rPr>
                <w:rFonts w:ascii="Atkinson Hyperlegible" w:hAnsi="Atkinson Hyperlegible"/>
                <w:b/>
                <w:bCs/>
              </w:rPr>
            </w:pPr>
            <w:r>
              <w:rPr>
                <w:rFonts w:ascii="Microsoft New Tai Lue" w:eastAsia="Times New Roman" w:hAnsi="Microsoft New Tai Lue" w:cs="Microsoft New Tai Lue"/>
                <w:sz w:val="24"/>
                <w:szCs w:val="24"/>
                <w:lang w:eastAsia="en-GB"/>
              </w:rPr>
              <w:t>Paul Hickson</w:t>
            </w:r>
            <w:r w:rsidR="00255B6C">
              <w:rPr>
                <w:rFonts w:ascii="Microsoft New Tai Lue" w:eastAsia="Times New Roman" w:hAnsi="Microsoft New Tai Lue" w:cs="Microsoft New Tai Lue"/>
                <w:sz w:val="24"/>
                <w:szCs w:val="24"/>
                <w:lang w:eastAsia="en-GB"/>
              </w:rPr>
              <w:t xml:space="preserve">, </w:t>
            </w:r>
            <w:r>
              <w:rPr>
                <w:rFonts w:ascii="Microsoft New Tai Lue" w:eastAsia="Times New Roman" w:hAnsi="Microsoft New Tai Lue" w:cs="Microsoft New Tai Lue"/>
                <w:sz w:val="24"/>
                <w:szCs w:val="24"/>
                <w:lang w:eastAsia="en-GB"/>
              </w:rPr>
              <w:t xml:space="preserve">Service </w:t>
            </w:r>
            <w:r w:rsidR="00255B6C">
              <w:rPr>
                <w:rFonts w:ascii="Microsoft New Tai Lue" w:eastAsia="Times New Roman" w:hAnsi="Microsoft New Tai Lue" w:cs="Microsoft New Tai Lue"/>
                <w:sz w:val="24"/>
                <w:szCs w:val="24"/>
                <w:lang w:eastAsia="en-GB"/>
              </w:rPr>
              <w:t xml:space="preserve">Director </w:t>
            </w:r>
            <w:r>
              <w:rPr>
                <w:rFonts w:ascii="Microsoft New Tai Lue" w:eastAsia="Times New Roman" w:hAnsi="Microsoft New Tai Lue" w:cs="Microsoft New Tai Lue"/>
                <w:sz w:val="24"/>
                <w:szCs w:val="24"/>
                <w:lang w:eastAsia="en-GB"/>
              </w:rPr>
              <w:t>for</w:t>
            </w:r>
            <w:r w:rsidR="002B18A6">
              <w:rPr>
                <w:rFonts w:ascii="Microsoft New Tai Lue" w:eastAsia="Times New Roman" w:hAnsi="Microsoft New Tai Lue" w:cs="Microsoft New Tai Lue"/>
                <w:sz w:val="24"/>
                <w:szCs w:val="24"/>
                <w:lang w:eastAsia="en-GB"/>
              </w:rPr>
              <w:t xml:space="preserve"> Economy, Employment and Planning</w:t>
            </w:r>
            <w:r w:rsidR="007663FB">
              <w:rPr>
                <w:rFonts w:ascii="Microsoft New Tai Lue" w:eastAsia="Times New Roman" w:hAnsi="Microsoft New Tai Lue" w:cs="Microsoft New Tai Lue"/>
                <w:sz w:val="24"/>
                <w:szCs w:val="24"/>
                <w:lang w:eastAsia="en-GB"/>
              </w:rPr>
              <w:t xml:space="preserve"> (22</w:t>
            </w:r>
            <w:r w:rsidR="00A5770E" w:rsidRPr="00A5770E">
              <w:rPr>
                <w:rFonts w:ascii="Microsoft New Tai Lue" w:eastAsia="Times New Roman" w:hAnsi="Microsoft New Tai Lue" w:cs="Microsoft New Tai Lue"/>
                <w:sz w:val="24"/>
                <w:szCs w:val="24"/>
                <w:vertAlign w:val="superscript"/>
                <w:lang w:eastAsia="en-GB"/>
              </w:rPr>
              <w:t>nd</w:t>
            </w:r>
            <w:r w:rsidR="00A5770E">
              <w:rPr>
                <w:rFonts w:ascii="Microsoft New Tai Lue" w:eastAsia="Times New Roman" w:hAnsi="Microsoft New Tai Lue" w:cs="Microsoft New Tai Lue"/>
                <w:sz w:val="24"/>
                <w:szCs w:val="24"/>
                <w:lang w:eastAsia="en-GB"/>
              </w:rPr>
              <w:t xml:space="preserve"> June 2023)</w:t>
            </w:r>
          </w:p>
        </w:tc>
        <w:tc>
          <w:tcPr>
            <w:tcW w:w="7036" w:type="dxa"/>
          </w:tcPr>
          <w:p w14:paraId="27DDF73A" w14:textId="4F3E2588" w:rsidR="00255B6C" w:rsidRDefault="00255B6C" w:rsidP="00255B6C">
            <w:pPr>
              <w:tabs>
                <w:tab w:val="left" w:pos="7590"/>
              </w:tabs>
              <w:rPr>
                <w:rFonts w:ascii="Atkinson Hyperlegible" w:hAnsi="Atkinson Hyperlegible"/>
                <w:b/>
                <w:bCs/>
              </w:rPr>
            </w:pPr>
          </w:p>
        </w:tc>
      </w:tr>
    </w:tbl>
    <w:p w14:paraId="32042C72" w14:textId="77777777" w:rsidR="0071435F" w:rsidRDefault="0071435F" w:rsidP="0071435F">
      <w:pPr>
        <w:tabs>
          <w:tab w:val="left" w:pos="7590"/>
        </w:tabs>
        <w:rPr>
          <w:rFonts w:ascii="Atkinson Hyperlegible" w:hAnsi="Atkinson Hyperlegible"/>
          <w:b/>
          <w:bCs/>
        </w:rPr>
      </w:pPr>
    </w:p>
    <w:tbl>
      <w:tblPr>
        <w:tblStyle w:val="TableGrid"/>
        <w:tblW w:w="0" w:type="auto"/>
        <w:tblLook w:val="04A0" w:firstRow="1" w:lastRow="0" w:firstColumn="1" w:lastColumn="0" w:noHBand="0" w:noVBand="1"/>
      </w:tblPr>
      <w:tblGrid>
        <w:gridCol w:w="1696"/>
        <w:gridCol w:w="7320"/>
      </w:tblGrid>
      <w:tr w:rsidR="0071435F" w14:paraId="164557AB" w14:textId="77777777" w:rsidTr="0071435F">
        <w:tc>
          <w:tcPr>
            <w:tcW w:w="1696" w:type="dxa"/>
          </w:tcPr>
          <w:p w14:paraId="612871D5" w14:textId="1226E8F8" w:rsidR="0071435F" w:rsidRDefault="0071435F" w:rsidP="0071435F">
            <w:pPr>
              <w:tabs>
                <w:tab w:val="left" w:pos="7590"/>
              </w:tabs>
              <w:rPr>
                <w:rFonts w:ascii="Atkinson Hyperlegible" w:hAnsi="Atkinson Hyperlegible"/>
                <w:b/>
                <w:bCs/>
              </w:rPr>
            </w:pPr>
            <w:r>
              <w:rPr>
                <w:rFonts w:ascii="Atkinson Hyperlegible" w:hAnsi="Atkinson Hyperlegible"/>
                <w:b/>
                <w:bCs/>
              </w:rPr>
              <w:t>Date:</w:t>
            </w:r>
          </w:p>
        </w:tc>
        <w:tc>
          <w:tcPr>
            <w:tcW w:w="7320" w:type="dxa"/>
          </w:tcPr>
          <w:p w14:paraId="67A3E998" w14:textId="08DD7FD0" w:rsidR="0071435F" w:rsidRDefault="00255B6C" w:rsidP="0071435F">
            <w:pPr>
              <w:tabs>
                <w:tab w:val="left" w:pos="7590"/>
              </w:tabs>
              <w:rPr>
                <w:rFonts w:ascii="Atkinson Hyperlegible" w:hAnsi="Atkinson Hyperlegible"/>
                <w:b/>
                <w:bCs/>
              </w:rPr>
            </w:pPr>
            <w:r>
              <w:rPr>
                <w:rFonts w:ascii="Atkinson Hyperlegible" w:hAnsi="Atkinson Hyperlegible"/>
                <w:b/>
                <w:bCs/>
              </w:rPr>
              <w:t>2</w:t>
            </w:r>
            <w:r w:rsidR="002B18A6">
              <w:rPr>
                <w:rFonts w:ascii="Atkinson Hyperlegible" w:hAnsi="Atkinson Hyperlegible"/>
                <w:b/>
                <w:bCs/>
              </w:rPr>
              <w:t>9</w:t>
            </w:r>
            <w:r w:rsidRPr="00255B6C">
              <w:rPr>
                <w:rFonts w:ascii="Atkinson Hyperlegible" w:hAnsi="Atkinson Hyperlegible"/>
                <w:b/>
                <w:bCs/>
                <w:vertAlign w:val="superscript"/>
              </w:rPr>
              <w:t>th</w:t>
            </w:r>
            <w:r>
              <w:rPr>
                <w:rFonts w:ascii="Atkinson Hyperlegible" w:hAnsi="Atkinson Hyperlegible"/>
                <w:b/>
                <w:bCs/>
              </w:rPr>
              <w:t xml:space="preserve"> June 2023</w:t>
            </w:r>
          </w:p>
        </w:tc>
      </w:tr>
    </w:tbl>
    <w:p w14:paraId="637FE49A" w14:textId="77777777" w:rsidR="0071435F" w:rsidRDefault="0071435F" w:rsidP="0071435F">
      <w:pPr>
        <w:tabs>
          <w:tab w:val="left" w:pos="7590"/>
        </w:tabs>
        <w:rPr>
          <w:rFonts w:ascii="Atkinson Hyperlegible" w:hAnsi="Atkinson Hyperlegible"/>
          <w:b/>
          <w:bCs/>
        </w:rPr>
      </w:pPr>
    </w:p>
    <w:tbl>
      <w:tblPr>
        <w:tblStyle w:val="TableGrid"/>
        <w:tblW w:w="0" w:type="auto"/>
        <w:tblLook w:val="04A0" w:firstRow="1" w:lastRow="0" w:firstColumn="1" w:lastColumn="0" w:noHBand="0" w:noVBand="1"/>
      </w:tblPr>
      <w:tblGrid>
        <w:gridCol w:w="1696"/>
        <w:gridCol w:w="7320"/>
      </w:tblGrid>
      <w:tr w:rsidR="0071435F" w14:paraId="14BAFA28" w14:textId="77777777" w:rsidTr="0071435F">
        <w:tc>
          <w:tcPr>
            <w:tcW w:w="1696" w:type="dxa"/>
          </w:tcPr>
          <w:p w14:paraId="3214C4D8" w14:textId="097600D7" w:rsidR="0071435F" w:rsidRDefault="0071435F" w:rsidP="0071435F">
            <w:pPr>
              <w:tabs>
                <w:tab w:val="left" w:pos="7590"/>
              </w:tabs>
              <w:rPr>
                <w:rFonts w:ascii="Atkinson Hyperlegible" w:hAnsi="Atkinson Hyperlegible"/>
                <w:b/>
                <w:bCs/>
              </w:rPr>
            </w:pPr>
            <w:r>
              <w:rPr>
                <w:rFonts w:ascii="Atkinson Hyperlegible" w:hAnsi="Atkinson Hyperlegible"/>
                <w:b/>
                <w:bCs/>
              </w:rPr>
              <w:t>To:</w:t>
            </w:r>
          </w:p>
        </w:tc>
        <w:tc>
          <w:tcPr>
            <w:tcW w:w="7320" w:type="dxa"/>
          </w:tcPr>
          <w:p w14:paraId="61D0723A" w14:textId="754DE810" w:rsidR="0071435F" w:rsidRDefault="0071435F" w:rsidP="0071435F">
            <w:pPr>
              <w:tabs>
                <w:tab w:val="left" w:pos="7590"/>
              </w:tabs>
              <w:rPr>
                <w:rFonts w:ascii="Atkinson Hyperlegible" w:hAnsi="Atkinson Hyperlegible"/>
                <w:b/>
                <w:bCs/>
              </w:rPr>
            </w:pPr>
            <w:r>
              <w:rPr>
                <w:rFonts w:ascii="Atkinson Hyperlegible" w:hAnsi="Atkinson Hyperlegible"/>
                <w:b/>
                <w:bCs/>
              </w:rPr>
              <w:t xml:space="preserve">All Unitary Councillors </w:t>
            </w:r>
          </w:p>
        </w:tc>
      </w:tr>
    </w:tbl>
    <w:p w14:paraId="0E79B835" w14:textId="4D07911E" w:rsidR="0071435F" w:rsidRDefault="0071435F" w:rsidP="0071435F">
      <w:pPr>
        <w:tabs>
          <w:tab w:val="left" w:pos="7590"/>
        </w:tabs>
        <w:rPr>
          <w:rFonts w:ascii="Atkinson Hyperlegible" w:hAnsi="Atkinson Hyperlegible"/>
          <w:b/>
          <w:bCs/>
        </w:rPr>
      </w:pPr>
    </w:p>
    <w:p w14:paraId="0D06A7CE" w14:textId="61B8D2CA" w:rsidR="007116DA" w:rsidRPr="007116DA" w:rsidRDefault="00E322E2" w:rsidP="0071435F">
      <w:pPr>
        <w:rPr>
          <w:rFonts w:ascii="Atkinson Hyperlegible" w:hAnsi="Atkinson Hyperlegible"/>
          <w:b/>
          <w:bCs/>
          <w:sz w:val="44"/>
          <w:szCs w:val="44"/>
        </w:rPr>
      </w:pPr>
      <w:bookmarkStart w:id="0" w:name="_MailAutoSig"/>
      <w:r w:rsidRPr="00714D1D">
        <w:rPr>
          <w:rFonts w:ascii="Arial" w:eastAsia="Times New Roman" w:hAnsi="Arial" w:cs="Arial"/>
          <w:b/>
          <w:bCs/>
          <w:sz w:val="24"/>
          <w:szCs w:val="24"/>
          <w:lang w:eastAsia="en-GB"/>
        </w:rPr>
        <w:t>National Technical consultation on the Infrastructure Levy</w:t>
      </w:r>
      <w:r>
        <w:rPr>
          <w:rFonts w:ascii="Arial" w:eastAsia="Times New Roman" w:hAnsi="Arial" w:cs="Arial"/>
          <w:b/>
          <w:bCs/>
          <w:sz w:val="24"/>
          <w:szCs w:val="24"/>
          <w:lang w:eastAsia="en-GB"/>
        </w:rPr>
        <w:t xml:space="preserve"> </w:t>
      </w:r>
    </w:p>
    <w:bookmarkEnd w:id="0"/>
    <w:p w14:paraId="4A842341" w14:textId="77777777" w:rsidR="00E322E2" w:rsidRPr="00714D1D" w:rsidRDefault="00E322E2" w:rsidP="00E322E2">
      <w:pPr>
        <w:spacing w:after="0" w:line="240" w:lineRule="auto"/>
        <w:textAlignment w:val="baseline"/>
        <w:rPr>
          <w:rFonts w:ascii="Arial" w:eastAsia="Times New Roman" w:hAnsi="Arial" w:cs="Arial"/>
          <w:sz w:val="24"/>
          <w:szCs w:val="24"/>
          <w:lang w:eastAsia="en-GB"/>
        </w:rPr>
      </w:pPr>
      <w:r w:rsidRPr="00714D1D">
        <w:rPr>
          <w:rFonts w:ascii="Arial" w:eastAsia="Times New Roman" w:hAnsi="Arial" w:cs="Arial"/>
          <w:sz w:val="24"/>
          <w:szCs w:val="24"/>
          <w:u w:val="single"/>
          <w:lang w:eastAsia="en-GB"/>
        </w:rPr>
        <w:t>Context </w:t>
      </w:r>
      <w:r w:rsidRPr="00714D1D">
        <w:rPr>
          <w:rFonts w:ascii="Arial" w:eastAsia="Times New Roman" w:hAnsi="Arial" w:cs="Arial"/>
          <w:sz w:val="24"/>
          <w:szCs w:val="24"/>
          <w:lang w:eastAsia="en-GB"/>
        </w:rPr>
        <w:t> </w:t>
      </w:r>
    </w:p>
    <w:p w14:paraId="4A494396" w14:textId="77777777" w:rsidR="00E322E2" w:rsidRPr="00714D1D" w:rsidRDefault="00E322E2" w:rsidP="00E322E2">
      <w:pPr>
        <w:spacing w:after="0" w:line="240" w:lineRule="auto"/>
        <w:textAlignment w:val="baseline"/>
        <w:rPr>
          <w:rFonts w:ascii="Arial" w:eastAsia="Times New Roman" w:hAnsi="Arial" w:cs="Arial"/>
          <w:sz w:val="24"/>
          <w:szCs w:val="24"/>
          <w:lang w:eastAsia="en-GB"/>
        </w:rPr>
      </w:pPr>
    </w:p>
    <w:p w14:paraId="77B2BC90" w14:textId="77777777" w:rsidR="00E322E2" w:rsidRPr="00714D1D" w:rsidRDefault="00E322E2" w:rsidP="00E322E2">
      <w:pPr>
        <w:spacing w:after="0" w:line="240" w:lineRule="auto"/>
        <w:textAlignment w:val="baseline"/>
        <w:rPr>
          <w:rFonts w:ascii="Arial" w:eastAsia="Times New Roman" w:hAnsi="Arial" w:cs="Arial"/>
          <w:sz w:val="24"/>
          <w:szCs w:val="24"/>
          <w:lang w:eastAsia="en-GB"/>
        </w:rPr>
      </w:pPr>
      <w:r w:rsidRPr="00714D1D">
        <w:rPr>
          <w:rFonts w:ascii="Arial" w:eastAsia="Times New Roman" w:hAnsi="Arial" w:cs="Arial"/>
          <w:sz w:val="24"/>
          <w:szCs w:val="24"/>
          <w:lang w:eastAsia="en-GB"/>
        </w:rPr>
        <w:t>The Infrastructure Levy is the proposed reform to the existing developer contributions system which comprises Section 106 planning obligations and the Community Infrastructure Levy (England only</w:t>
      </w:r>
      <w:r w:rsidRPr="009B5E48">
        <w:rPr>
          <w:rFonts w:ascii="Arial" w:eastAsia="Times New Roman" w:hAnsi="Arial" w:cs="Arial"/>
          <w:sz w:val="24"/>
          <w:szCs w:val="24"/>
          <w:lang w:eastAsia="en-GB"/>
        </w:rPr>
        <w:t>) and has been subject to a recent technical consultation, to which the Council responded</w:t>
      </w:r>
      <w:r w:rsidRPr="00714D1D">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The principle </w:t>
      </w:r>
      <w:r w:rsidRPr="00714D1D">
        <w:rPr>
          <w:rFonts w:ascii="Arial" w:eastAsia="Times New Roman" w:hAnsi="Arial" w:cs="Arial"/>
          <w:sz w:val="24"/>
          <w:szCs w:val="24"/>
          <w:lang w:eastAsia="en-GB"/>
        </w:rPr>
        <w:t xml:space="preserve">was previously consulted </w:t>
      </w:r>
      <w:r>
        <w:rPr>
          <w:rFonts w:ascii="Arial" w:eastAsia="Times New Roman" w:hAnsi="Arial" w:cs="Arial"/>
          <w:sz w:val="24"/>
          <w:szCs w:val="24"/>
          <w:lang w:eastAsia="en-GB"/>
        </w:rPr>
        <w:t>on</w:t>
      </w:r>
      <w:r w:rsidRPr="00714D1D">
        <w:rPr>
          <w:rFonts w:ascii="Arial" w:eastAsia="Times New Roman" w:hAnsi="Arial" w:cs="Arial"/>
          <w:sz w:val="24"/>
          <w:szCs w:val="24"/>
          <w:lang w:eastAsia="en-GB"/>
        </w:rPr>
        <w:t xml:space="preserve"> as part of the wider planning reforms set out in the Planning for the Future White Paper (2020). The </w:t>
      </w:r>
      <w:r>
        <w:rPr>
          <w:rFonts w:ascii="Arial" w:eastAsia="Times New Roman" w:hAnsi="Arial" w:cs="Arial"/>
          <w:sz w:val="24"/>
          <w:szCs w:val="24"/>
          <w:lang w:eastAsia="en-GB"/>
        </w:rPr>
        <w:t xml:space="preserve">more recent </w:t>
      </w:r>
      <w:r w:rsidRPr="00714D1D">
        <w:rPr>
          <w:rFonts w:ascii="Arial" w:eastAsia="Times New Roman" w:hAnsi="Arial" w:cs="Arial"/>
          <w:sz w:val="24"/>
          <w:szCs w:val="24"/>
          <w:lang w:eastAsia="en-GB"/>
        </w:rPr>
        <w:t>consultation was not therefore seeking views as to whether the new levy was supported in principle or whether alternatives such as further amendments to the existing CIL and s.106 regime might be preferable.</w:t>
      </w:r>
    </w:p>
    <w:p w14:paraId="1EF8CFCF" w14:textId="77777777" w:rsidR="00E322E2" w:rsidRPr="00714D1D" w:rsidRDefault="00E322E2" w:rsidP="00E322E2">
      <w:pPr>
        <w:spacing w:after="0" w:line="240" w:lineRule="auto"/>
        <w:textAlignment w:val="baseline"/>
        <w:rPr>
          <w:rFonts w:ascii="Arial" w:eastAsia="Times New Roman" w:hAnsi="Arial" w:cs="Arial"/>
          <w:sz w:val="24"/>
          <w:szCs w:val="24"/>
          <w:lang w:eastAsia="en-GB"/>
        </w:rPr>
      </w:pPr>
      <w:r w:rsidRPr="00714D1D">
        <w:rPr>
          <w:rFonts w:ascii="Arial" w:eastAsia="Times New Roman" w:hAnsi="Arial" w:cs="Arial"/>
          <w:sz w:val="24"/>
          <w:szCs w:val="24"/>
          <w:lang w:eastAsia="en-GB"/>
        </w:rPr>
        <w:t> </w:t>
      </w:r>
    </w:p>
    <w:p w14:paraId="4A48F677" w14:textId="77777777" w:rsidR="00E322E2" w:rsidRPr="00714D1D" w:rsidRDefault="00E322E2" w:rsidP="00E322E2">
      <w:pPr>
        <w:spacing w:after="0" w:line="240" w:lineRule="auto"/>
        <w:textAlignment w:val="baseline"/>
        <w:rPr>
          <w:rFonts w:ascii="Arial" w:eastAsia="Times New Roman" w:hAnsi="Arial" w:cs="Arial"/>
          <w:sz w:val="24"/>
          <w:szCs w:val="24"/>
          <w:lang w:eastAsia="en-GB"/>
        </w:rPr>
      </w:pPr>
      <w:r w:rsidRPr="00714D1D">
        <w:rPr>
          <w:rFonts w:ascii="Arial" w:eastAsia="Times New Roman" w:hAnsi="Arial" w:cs="Arial"/>
          <w:sz w:val="24"/>
          <w:szCs w:val="24"/>
          <w:lang w:eastAsia="en-GB"/>
        </w:rPr>
        <w:t xml:space="preserve">The rationale behind the </w:t>
      </w:r>
      <w:r>
        <w:rPr>
          <w:rFonts w:ascii="Arial" w:eastAsia="Times New Roman" w:hAnsi="Arial" w:cs="Arial"/>
          <w:sz w:val="24"/>
          <w:szCs w:val="24"/>
          <w:lang w:eastAsia="en-GB"/>
        </w:rPr>
        <w:t xml:space="preserve">proposed </w:t>
      </w:r>
      <w:r w:rsidRPr="00714D1D">
        <w:rPr>
          <w:rFonts w:ascii="Arial" w:eastAsia="Times New Roman" w:hAnsi="Arial" w:cs="Arial"/>
          <w:sz w:val="24"/>
          <w:szCs w:val="24"/>
          <w:lang w:eastAsia="en-GB"/>
        </w:rPr>
        <w:t>change relates to the Government’s desire to see developers pay a ‘fairer share’ for affordable housing and local infrastructure such as roads, schools, and doctors’ surgeries etc. The Infrastructure Levy will be a locally set and mandatory charge levied on the final development value of completed development. By charging the Levy on the value of completed development, the sum collected will increase as development prices increase and reduce as prices fall. This, in theory, makes the Levy more responsive to market conditions than the existing system of developer contributions and therefore when values increase it should result in more funding for infrastructure. </w:t>
      </w:r>
    </w:p>
    <w:p w14:paraId="6C240AE5" w14:textId="77777777" w:rsidR="00E322E2" w:rsidRPr="00714D1D" w:rsidRDefault="00E322E2" w:rsidP="00E322E2">
      <w:pPr>
        <w:spacing w:after="0" w:line="240" w:lineRule="auto"/>
        <w:textAlignment w:val="baseline"/>
        <w:rPr>
          <w:rFonts w:ascii="Arial" w:eastAsia="Times New Roman" w:hAnsi="Arial" w:cs="Arial"/>
          <w:sz w:val="24"/>
          <w:szCs w:val="24"/>
          <w:lang w:eastAsia="en-GB"/>
        </w:rPr>
      </w:pPr>
    </w:p>
    <w:p w14:paraId="3DC2E0F6" w14:textId="77777777" w:rsidR="00E322E2" w:rsidRPr="00714D1D" w:rsidRDefault="00E322E2" w:rsidP="00E322E2">
      <w:pPr>
        <w:spacing w:after="0" w:line="240" w:lineRule="auto"/>
        <w:textAlignment w:val="baseline"/>
        <w:rPr>
          <w:rFonts w:ascii="Arial" w:eastAsia="Times New Roman" w:hAnsi="Arial" w:cs="Arial"/>
          <w:sz w:val="24"/>
          <w:szCs w:val="24"/>
          <w:lang w:eastAsia="en-GB"/>
        </w:rPr>
      </w:pPr>
      <w:r w:rsidRPr="00714D1D">
        <w:rPr>
          <w:rFonts w:ascii="Arial" w:eastAsia="Times New Roman" w:hAnsi="Arial" w:cs="Arial"/>
          <w:sz w:val="24"/>
          <w:szCs w:val="24"/>
          <w:lang w:eastAsia="en-GB"/>
        </w:rPr>
        <w:lastRenderedPageBreak/>
        <w:t>The recent technical consultation looked to inform the design of the Levy and of the future regulations that will set out its operation in detail. A subsequent consultation on the drafting of those regulations will be published in due course. A phased 'test and learn' process is planned over a period of about 10 years, to provide Local Authorities and industry sufficient preparation time.  </w:t>
      </w:r>
    </w:p>
    <w:p w14:paraId="783D1B40" w14:textId="77777777" w:rsidR="00E322E2" w:rsidRPr="00714D1D" w:rsidRDefault="00E322E2" w:rsidP="00E322E2">
      <w:pPr>
        <w:spacing w:after="0" w:line="240" w:lineRule="auto"/>
        <w:textAlignment w:val="baseline"/>
        <w:rPr>
          <w:rFonts w:ascii="Arial" w:eastAsia="Times New Roman" w:hAnsi="Arial" w:cs="Arial"/>
          <w:sz w:val="24"/>
          <w:szCs w:val="24"/>
          <w:lang w:eastAsia="en-GB"/>
        </w:rPr>
      </w:pPr>
    </w:p>
    <w:p w14:paraId="5B4B56F1" w14:textId="77777777" w:rsidR="00E322E2" w:rsidRPr="009B5E48" w:rsidRDefault="00E322E2" w:rsidP="00E322E2">
      <w:pPr>
        <w:spacing w:after="0" w:line="240" w:lineRule="auto"/>
        <w:textAlignment w:val="baseline"/>
        <w:rPr>
          <w:rFonts w:ascii="Arial" w:eastAsia="Times New Roman" w:hAnsi="Arial" w:cs="Arial"/>
          <w:sz w:val="24"/>
          <w:szCs w:val="24"/>
          <w:lang w:eastAsia="en-GB"/>
        </w:rPr>
      </w:pPr>
      <w:r w:rsidRPr="009B5E48">
        <w:rPr>
          <w:rFonts w:ascii="Arial" w:eastAsia="Times New Roman" w:hAnsi="Arial" w:cs="Arial"/>
          <w:sz w:val="24"/>
          <w:szCs w:val="24"/>
          <w:lang w:eastAsia="en-GB"/>
        </w:rPr>
        <w:t>The Local Government Association, the County Councils Network and other bodies across the planning and housing sector have written to the Government asking them not to introduce the proposed Infrastructure Levy. They highlight significant concerns that the proposed levy will result in fewer, not more, affordable homes delivered, will expose councils to excessive levels of financial risks, and be increasingly burdensome and complex for local authorities to implement and manage. The signatories propose that retention and improvement of the current developer contribution system is the most appropriate solution (</w:t>
      </w:r>
      <w:hyperlink r:id="rId7" w:history="1">
        <w:r w:rsidRPr="009B5E48">
          <w:rPr>
            <w:rStyle w:val="Hyperlink"/>
            <w:rFonts w:ascii="Arial" w:eastAsia="Times New Roman" w:hAnsi="Arial" w:cs="Arial"/>
            <w:sz w:val="24"/>
            <w:szCs w:val="24"/>
            <w:lang w:eastAsia="en-GB"/>
          </w:rPr>
          <w:t>LGA’s response to DLUHC’s technical consultation on the Infrastructure Levy | Local Government Association</w:t>
        </w:r>
      </w:hyperlink>
      <w:r w:rsidRPr="009B5E48">
        <w:rPr>
          <w:rFonts w:ascii="Arial" w:eastAsia="Times New Roman" w:hAnsi="Arial" w:cs="Arial"/>
          <w:sz w:val="24"/>
          <w:szCs w:val="24"/>
          <w:lang w:eastAsia="en-GB"/>
        </w:rPr>
        <w:t>).</w:t>
      </w:r>
    </w:p>
    <w:p w14:paraId="74533C94" w14:textId="77777777" w:rsidR="00E322E2" w:rsidRPr="009B5E48" w:rsidRDefault="00E322E2" w:rsidP="00E322E2">
      <w:pPr>
        <w:spacing w:after="0" w:line="240" w:lineRule="auto"/>
        <w:textAlignment w:val="baseline"/>
        <w:rPr>
          <w:rFonts w:ascii="Arial" w:eastAsia="Times New Roman" w:hAnsi="Arial" w:cs="Arial"/>
          <w:sz w:val="24"/>
          <w:szCs w:val="24"/>
          <w:lang w:eastAsia="en-GB"/>
        </w:rPr>
      </w:pPr>
    </w:p>
    <w:p w14:paraId="38480296" w14:textId="77777777" w:rsidR="00E322E2" w:rsidRPr="009B5E48" w:rsidRDefault="00E322E2" w:rsidP="00E322E2">
      <w:pPr>
        <w:spacing w:after="0" w:line="240" w:lineRule="auto"/>
        <w:textAlignment w:val="baseline"/>
        <w:rPr>
          <w:rFonts w:ascii="Arial" w:eastAsia="Times New Roman" w:hAnsi="Arial" w:cs="Arial"/>
          <w:sz w:val="24"/>
          <w:szCs w:val="24"/>
          <w:lang w:eastAsia="en-GB"/>
        </w:rPr>
      </w:pPr>
      <w:r w:rsidRPr="009B5E48">
        <w:rPr>
          <w:rFonts w:ascii="Arial" w:eastAsia="Times New Roman" w:hAnsi="Arial" w:cs="Arial"/>
          <w:sz w:val="24"/>
          <w:szCs w:val="24"/>
          <w:lang w:eastAsia="en-GB"/>
        </w:rPr>
        <w:t xml:space="preserve">A key concern is that the proposed levy would not be ring fenced to infrastructure and affordable housing provision and could therefore be spent on other areas of service provision, hence the suggestion that less affordable housing might be provided. </w:t>
      </w:r>
    </w:p>
    <w:p w14:paraId="3D98020B" w14:textId="77777777" w:rsidR="00E322E2" w:rsidRPr="009B5E48" w:rsidRDefault="00E322E2" w:rsidP="00E322E2">
      <w:pPr>
        <w:spacing w:after="0" w:line="240" w:lineRule="auto"/>
        <w:textAlignment w:val="baseline"/>
        <w:rPr>
          <w:rFonts w:ascii="Arial" w:eastAsia="Times New Roman" w:hAnsi="Arial" w:cs="Arial"/>
          <w:sz w:val="24"/>
          <w:szCs w:val="24"/>
          <w:lang w:eastAsia="en-GB"/>
        </w:rPr>
      </w:pPr>
    </w:p>
    <w:p w14:paraId="0B9339C4" w14:textId="77777777" w:rsidR="00E322E2" w:rsidRPr="009B5E48" w:rsidRDefault="00E322E2" w:rsidP="00E322E2">
      <w:pPr>
        <w:spacing w:after="0" w:line="240" w:lineRule="auto"/>
        <w:textAlignment w:val="baseline"/>
        <w:rPr>
          <w:rFonts w:ascii="Arial" w:eastAsia="Times New Roman" w:hAnsi="Arial" w:cs="Arial"/>
          <w:sz w:val="24"/>
          <w:szCs w:val="24"/>
          <w:lang w:eastAsia="en-GB"/>
        </w:rPr>
      </w:pPr>
      <w:r w:rsidRPr="009B5E48">
        <w:rPr>
          <w:rFonts w:ascii="Arial" w:eastAsia="Times New Roman" w:hAnsi="Arial" w:cs="Arial"/>
          <w:sz w:val="24"/>
          <w:szCs w:val="24"/>
          <w:lang w:eastAsia="en-GB"/>
        </w:rPr>
        <w:t>Whilst any mechanism that secured additional funding towards essential infrastructure and affordable housing is welcomed, introducing a new and complex levy has no guarantee that this objective will be achieved. The Council’s response to the consultation (see below) has highlighted similar concerns to those of the LGA in terms of financial risks and complexity of the new levy. Additionally, it has raised concerns that the levy might be used to fund other areas of service provision and suggests that the definitions for what the levy can be used for need to be tightly defined and prioritised on infrastructure needed to support development and affordable housing.</w:t>
      </w:r>
    </w:p>
    <w:p w14:paraId="2A1BB88C" w14:textId="77777777" w:rsidR="00E322E2" w:rsidRPr="009B5E48" w:rsidRDefault="00E322E2" w:rsidP="00E322E2">
      <w:pPr>
        <w:spacing w:after="0" w:line="240" w:lineRule="auto"/>
        <w:textAlignment w:val="baseline"/>
        <w:rPr>
          <w:rFonts w:ascii="Arial" w:eastAsia="Times New Roman" w:hAnsi="Arial" w:cs="Arial"/>
          <w:sz w:val="24"/>
          <w:szCs w:val="24"/>
          <w:lang w:eastAsia="en-GB"/>
        </w:rPr>
      </w:pPr>
    </w:p>
    <w:p w14:paraId="04838A03" w14:textId="77777777" w:rsidR="00E322E2" w:rsidRPr="00714D1D" w:rsidRDefault="00E322E2" w:rsidP="00E322E2">
      <w:pPr>
        <w:spacing w:after="0" w:line="240" w:lineRule="auto"/>
        <w:textAlignment w:val="baseline"/>
        <w:rPr>
          <w:rFonts w:ascii="Arial" w:eastAsia="Times New Roman" w:hAnsi="Arial" w:cs="Arial"/>
          <w:sz w:val="24"/>
          <w:szCs w:val="24"/>
          <w:lang w:eastAsia="en-GB"/>
        </w:rPr>
      </w:pPr>
      <w:r w:rsidRPr="009B5E48">
        <w:rPr>
          <w:rFonts w:ascii="Arial" w:eastAsia="Times New Roman" w:hAnsi="Arial" w:cs="Arial"/>
          <w:sz w:val="24"/>
          <w:szCs w:val="24"/>
          <w:lang w:eastAsia="en-GB"/>
        </w:rPr>
        <w:t xml:space="preserve">Additionally, currently there are already established mechanisms to secure additional contributions for affordable housing should development value increase (review clauses in s.106 agreements). The proposed levy also does not directly address the key issue of land valuation. For greenfield sites it is not uncommon for land to be valued at between </w:t>
      </w:r>
      <w:proofErr w:type="gramStart"/>
      <w:r w:rsidRPr="009B5E48">
        <w:rPr>
          <w:rFonts w:ascii="Arial" w:eastAsia="Times New Roman" w:hAnsi="Arial" w:cs="Arial"/>
          <w:sz w:val="24"/>
          <w:szCs w:val="24"/>
          <w:lang w:eastAsia="en-GB"/>
        </w:rPr>
        <w:t>10 and 20 times</w:t>
      </w:r>
      <w:proofErr w:type="gramEnd"/>
      <w:r w:rsidRPr="009B5E48">
        <w:rPr>
          <w:rFonts w:ascii="Arial" w:eastAsia="Times New Roman" w:hAnsi="Arial" w:cs="Arial"/>
          <w:sz w:val="24"/>
          <w:szCs w:val="24"/>
          <w:lang w:eastAsia="en-GB"/>
        </w:rPr>
        <w:t xml:space="preserve"> existing use value and whilst in theory development costs and contributions should reduce this uplift, this rarely happens in practice. A mechanism to secure a greater proportion of this uplift for delivering infrastructure and affordable housing would potentially be more effective than a new levy but currently the Government are not pursuing any initiatives in this area.</w:t>
      </w:r>
      <w:r w:rsidRPr="00714D1D">
        <w:rPr>
          <w:rFonts w:ascii="Arial" w:eastAsia="Times New Roman" w:hAnsi="Arial" w:cs="Arial"/>
          <w:sz w:val="24"/>
          <w:szCs w:val="24"/>
          <w:lang w:eastAsia="en-GB"/>
        </w:rPr>
        <w:t xml:space="preserve"> </w:t>
      </w:r>
    </w:p>
    <w:p w14:paraId="45523C94" w14:textId="77777777" w:rsidR="00E322E2" w:rsidRPr="00714D1D" w:rsidRDefault="00E322E2" w:rsidP="00E322E2">
      <w:pPr>
        <w:spacing w:after="0" w:line="240" w:lineRule="auto"/>
        <w:textAlignment w:val="baseline"/>
        <w:rPr>
          <w:rFonts w:ascii="Arial" w:eastAsia="Times New Roman" w:hAnsi="Arial" w:cs="Arial"/>
          <w:sz w:val="24"/>
          <w:szCs w:val="24"/>
          <w:lang w:eastAsia="en-GB"/>
        </w:rPr>
      </w:pPr>
    </w:p>
    <w:p w14:paraId="7EEAC909" w14:textId="77777777" w:rsidR="00E322E2" w:rsidRPr="00714D1D" w:rsidRDefault="00E322E2" w:rsidP="00E322E2">
      <w:pPr>
        <w:spacing w:after="0" w:line="240" w:lineRule="auto"/>
        <w:textAlignment w:val="baseline"/>
        <w:rPr>
          <w:rFonts w:ascii="Arial" w:eastAsia="Times New Roman" w:hAnsi="Arial" w:cs="Arial"/>
          <w:sz w:val="24"/>
          <w:szCs w:val="24"/>
          <w:lang w:eastAsia="en-GB"/>
        </w:rPr>
      </w:pPr>
      <w:r w:rsidRPr="00714D1D">
        <w:rPr>
          <w:rFonts w:ascii="Arial" w:eastAsia="Times New Roman" w:hAnsi="Arial" w:cs="Arial"/>
          <w:sz w:val="24"/>
          <w:szCs w:val="24"/>
          <w:lang w:eastAsia="en-GB"/>
        </w:rPr>
        <w:t> </w:t>
      </w:r>
    </w:p>
    <w:p w14:paraId="102F6538" w14:textId="77777777" w:rsidR="00E322E2" w:rsidRPr="00714D1D" w:rsidRDefault="00E322E2" w:rsidP="00E322E2">
      <w:pPr>
        <w:spacing w:after="0" w:line="240" w:lineRule="auto"/>
        <w:textAlignment w:val="baseline"/>
        <w:rPr>
          <w:rFonts w:ascii="Arial" w:eastAsia="Times New Roman" w:hAnsi="Arial" w:cs="Arial"/>
          <w:sz w:val="24"/>
          <w:szCs w:val="24"/>
          <w:lang w:eastAsia="en-GB"/>
        </w:rPr>
      </w:pPr>
      <w:r w:rsidRPr="00714D1D">
        <w:rPr>
          <w:rFonts w:ascii="Arial" w:eastAsia="Times New Roman" w:hAnsi="Arial" w:cs="Arial"/>
          <w:sz w:val="24"/>
          <w:szCs w:val="24"/>
          <w:u w:val="single"/>
          <w:lang w:eastAsia="en-GB"/>
        </w:rPr>
        <w:t>Main Issues &amp; the Somerset Council response to the technical consultation </w:t>
      </w:r>
      <w:r w:rsidRPr="00714D1D">
        <w:rPr>
          <w:rFonts w:ascii="Arial" w:eastAsia="Times New Roman" w:hAnsi="Arial" w:cs="Arial"/>
          <w:sz w:val="24"/>
          <w:szCs w:val="24"/>
          <w:lang w:eastAsia="en-GB"/>
        </w:rPr>
        <w:t> </w:t>
      </w:r>
    </w:p>
    <w:p w14:paraId="054ACE12" w14:textId="77777777" w:rsidR="00E322E2" w:rsidRPr="00714D1D" w:rsidRDefault="00E322E2" w:rsidP="00E322E2">
      <w:pPr>
        <w:spacing w:after="0" w:line="240" w:lineRule="auto"/>
        <w:textAlignment w:val="baseline"/>
        <w:rPr>
          <w:rFonts w:ascii="Arial" w:eastAsia="Times New Roman" w:hAnsi="Arial" w:cs="Arial"/>
          <w:sz w:val="24"/>
          <w:szCs w:val="24"/>
          <w:lang w:eastAsia="en-GB"/>
        </w:rPr>
      </w:pPr>
      <w:r w:rsidRPr="00714D1D">
        <w:rPr>
          <w:rFonts w:ascii="Arial" w:eastAsia="Times New Roman" w:hAnsi="Arial" w:cs="Arial"/>
          <w:sz w:val="24"/>
          <w:szCs w:val="24"/>
          <w:lang w:eastAsia="en-GB"/>
        </w:rPr>
        <w:t> </w:t>
      </w:r>
    </w:p>
    <w:p w14:paraId="21D028E9" w14:textId="77777777" w:rsidR="00E322E2" w:rsidRPr="00714D1D" w:rsidRDefault="00E322E2" w:rsidP="00E322E2">
      <w:pPr>
        <w:spacing w:after="0" w:line="240" w:lineRule="auto"/>
        <w:textAlignment w:val="baseline"/>
        <w:rPr>
          <w:rFonts w:ascii="Arial" w:eastAsia="Times New Roman" w:hAnsi="Arial" w:cs="Arial"/>
          <w:sz w:val="24"/>
          <w:szCs w:val="24"/>
          <w:lang w:eastAsia="en-GB"/>
        </w:rPr>
      </w:pPr>
      <w:r w:rsidRPr="00714D1D">
        <w:rPr>
          <w:rFonts w:ascii="Arial" w:eastAsia="Times New Roman" w:hAnsi="Arial" w:cs="Arial"/>
          <w:sz w:val="24"/>
          <w:szCs w:val="24"/>
          <w:lang w:eastAsia="en-GB"/>
        </w:rPr>
        <w:t>The Council submitted a detailed response to the technical consultation on the 9 June</w:t>
      </w:r>
      <w:r>
        <w:rPr>
          <w:rFonts w:ascii="Arial" w:eastAsia="Times New Roman" w:hAnsi="Arial" w:cs="Arial"/>
          <w:sz w:val="24"/>
          <w:szCs w:val="24"/>
          <w:lang w:eastAsia="en-GB"/>
        </w:rPr>
        <w:t xml:space="preserve"> 2023</w:t>
      </w:r>
      <w:r w:rsidRPr="00714D1D">
        <w:rPr>
          <w:rFonts w:ascii="Arial" w:eastAsia="Times New Roman" w:hAnsi="Arial" w:cs="Arial"/>
          <w:sz w:val="24"/>
          <w:szCs w:val="24"/>
          <w:lang w:eastAsia="en-GB"/>
        </w:rPr>
        <w:t xml:space="preserve">. </w:t>
      </w:r>
    </w:p>
    <w:p w14:paraId="49BE381A" w14:textId="77777777" w:rsidR="00E322E2" w:rsidRPr="00714D1D" w:rsidRDefault="00E322E2" w:rsidP="00E322E2">
      <w:pPr>
        <w:spacing w:after="0" w:line="240" w:lineRule="auto"/>
        <w:textAlignment w:val="baseline"/>
        <w:rPr>
          <w:rFonts w:ascii="Arial" w:eastAsia="Times New Roman" w:hAnsi="Arial" w:cs="Arial"/>
          <w:sz w:val="24"/>
          <w:szCs w:val="24"/>
          <w:lang w:eastAsia="en-GB"/>
        </w:rPr>
      </w:pPr>
    </w:p>
    <w:p w14:paraId="217B25E6" w14:textId="77777777" w:rsidR="00E322E2" w:rsidRPr="00714D1D" w:rsidRDefault="00E322E2" w:rsidP="00E322E2">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In the Council response</w:t>
      </w:r>
      <w:r w:rsidRPr="00714D1D">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concern was expressed about </w:t>
      </w:r>
      <w:r w:rsidRPr="00714D1D">
        <w:rPr>
          <w:rFonts w:ascii="Arial" w:eastAsia="Times New Roman" w:hAnsi="Arial" w:cs="Arial"/>
          <w:sz w:val="24"/>
          <w:szCs w:val="24"/>
          <w:lang w:eastAsia="en-GB"/>
        </w:rPr>
        <w:t xml:space="preserve">the timing of the receipt of monies </w:t>
      </w:r>
      <w:r>
        <w:rPr>
          <w:rFonts w:ascii="Arial" w:eastAsia="Times New Roman" w:hAnsi="Arial" w:cs="Arial"/>
          <w:sz w:val="24"/>
          <w:szCs w:val="24"/>
          <w:lang w:eastAsia="en-GB"/>
        </w:rPr>
        <w:t xml:space="preserve">and the </w:t>
      </w:r>
      <w:r w:rsidRPr="00714D1D">
        <w:rPr>
          <w:rFonts w:ascii="Arial" w:eastAsia="Times New Roman" w:hAnsi="Arial" w:cs="Arial"/>
          <w:sz w:val="24"/>
          <w:szCs w:val="24"/>
          <w:lang w:eastAsia="en-GB"/>
        </w:rPr>
        <w:t xml:space="preserve">divergence between Infrastructure Levy payments and delivery of </w:t>
      </w:r>
      <w:r w:rsidRPr="00714D1D">
        <w:rPr>
          <w:rFonts w:ascii="Arial" w:eastAsia="Times New Roman" w:hAnsi="Arial" w:cs="Arial"/>
          <w:sz w:val="24"/>
          <w:szCs w:val="24"/>
          <w:lang w:eastAsia="en-GB"/>
        </w:rPr>
        <w:lastRenderedPageBreak/>
        <w:t xml:space="preserve">associated infrastructure projects. </w:t>
      </w:r>
      <w:r>
        <w:rPr>
          <w:rFonts w:ascii="Arial" w:eastAsia="Times New Roman" w:hAnsi="Arial" w:cs="Arial"/>
          <w:sz w:val="24"/>
          <w:szCs w:val="24"/>
          <w:lang w:eastAsia="en-GB"/>
        </w:rPr>
        <w:t xml:space="preserve">  One of </w:t>
      </w:r>
      <w:r w:rsidRPr="00714D1D">
        <w:rPr>
          <w:rFonts w:ascii="Arial" w:eastAsia="Times New Roman" w:hAnsi="Arial" w:cs="Arial"/>
          <w:sz w:val="24"/>
          <w:szCs w:val="24"/>
          <w:lang w:eastAsia="en-GB"/>
        </w:rPr>
        <w:t xml:space="preserve">the difficulties </w:t>
      </w:r>
      <w:r>
        <w:rPr>
          <w:rFonts w:ascii="Arial" w:eastAsia="Times New Roman" w:hAnsi="Arial" w:cs="Arial"/>
          <w:sz w:val="24"/>
          <w:szCs w:val="24"/>
          <w:lang w:eastAsia="en-GB"/>
        </w:rPr>
        <w:t xml:space="preserve">would be </w:t>
      </w:r>
      <w:r w:rsidRPr="00714D1D">
        <w:rPr>
          <w:rFonts w:ascii="Arial" w:eastAsia="Times New Roman" w:hAnsi="Arial" w:cs="Arial"/>
          <w:sz w:val="24"/>
          <w:szCs w:val="24"/>
          <w:lang w:eastAsia="en-GB"/>
        </w:rPr>
        <w:t>around forecasting future Levy receipts and the potential need to fund infrastructure in advance of these</w:t>
      </w:r>
      <w:r>
        <w:rPr>
          <w:rFonts w:ascii="Arial" w:eastAsia="Times New Roman" w:hAnsi="Arial" w:cs="Arial"/>
          <w:sz w:val="24"/>
          <w:szCs w:val="24"/>
          <w:lang w:eastAsia="en-GB"/>
        </w:rPr>
        <w:t xml:space="preserve"> receipts</w:t>
      </w:r>
      <w:r w:rsidRPr="00714D1D">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w:t>
      </w:r>
      <w:r w:rsidRPr="00714D1D">
        <w:rPr>
          <w:rFonts w:ascii="Arial" w:eastAsia="Times New Roman" w:hAnsi="Arial" w:cs="Arial"/>
          <w:sz w:val="24"/>
          <w:szCs w:val="24"/>
          <w:lang w:eastAsia="en-GB"/>
        </w:rPr>
        <w:t>Borrowing against receipts to deliver infrastructure if the amounts are unknown would be challenging and potentially result in delays in provision. More importantly, there are currently considerable constraints on any further Council borrowing and the response highlights there will be considerable challenges if Councils are required to fund infrastructure in advance of levy receipts. It is felt that there needs to be considerably greater thought as to how the Levy will deliver infrastructure when it is needed. This could include upfront payments/phased payments where local circumstances justified this approach.  </w:t>
      </w:r>
    </w:p>
    <w:p w14:paraId="0C69A3FA" w14:textId="77777777" w:rsidR="00E322E2" w:rsidRPr="00714D1D" w:rsidRDefault="00E322E2" w:rsidP="00E322E2">
      <w:pPr>
        <w:spacing w:after="0" w:line="240" w:lineRule="auto"/>
        <w:textAlignment w:val="baseline"/>
        <w:rPr>
          <w:rFonts w:ascii="Arial" w:eastAsia="Times New Roman" w:hAnsi="Arial" w:cs="Arial"/>
          <w:sz w:val="24"/>
          <w:szCs w:val="24"/>
          <w:lang w:eastAsia="en-GB"/>
        </w:rPr>
      </w:pPr>
      <w:r w:rsidRPr="00714D1D">
        <w:rPr>
          <w:rFonts w:ascii="Arial" w:eastAsia="Times New Roman" w:hAnsi="Arial" w:cs="Arial"/>
          <w:sz w:val="24"/>
          <w:szCs w:val="24"/>
          <w:lang w:eastAsia="en-GB"/>
        </w:rPr>
        <w:t> </w:t>
      </w:r>
    </w:p>
    <w:p w14:paraId="4BC462DF" w14:textId="77777777" w:rsidR="00E322E2" w:rsidRPr="00714D1D" w:rsidRDefault="00E322E2" w:rsidP="00E322E2">
      <w:pPr>
        <w:spacing w:after="0" w:line="240" w:lineRule="auto"/>
        <w:textAlignment w:val="baseline"/>
        <w:rPr>
          <w:rFonts w:ascii="Arial" w:eastAsia="Times New Roman" w:hAnsi="Arial" w:cs="Arial"/>
          <w:sz w:val="24"/>
          <w:szCs w:val="24"/>
          <w:lang w:eastAsia="en-GB"/>
        </w:rPr>
      </w:pPr>
      <w:r w:rsidRPr="00714D1D">
        <w:rPr>
          <w:rFonts w:ascii="Arial" w:eastAsia="Times New Roman" w:hAnsi="Arial" w:cs="Arial"/>
          <w:sz w:val="24"/>
          <w:szCs w:val="24"/>
          <w:lang w:eastAsia="en-GB"/>
        </w:rPr>
        <w:t>Below table provides a summary of the main issues and headlines in terms of our SC response. </w:t>
      </w:r>
    </w:p>
    <w:p w14:paraId="4811CF91" w14:textId="77777777" w:rsidR="00E322E2" w:rsidRPr="00714D1D" w:rsidRDefault="00E322E2" w:rsidP="00E322E2">
      <w:pPr>
        <w:spacing w:after="0" w:line="240" w:lineRule="auto"/>
        <w:textAlignment w:val="baseline"/>
        <w:rPr>
          <w:rFonts w:ascii="Arial" w:eastAsia="Times New Roman" w:hAnsi="Arial" w:cs="Arial"/>
          <w:sz w:val="24"/>
          <w:szCs w:val="24"/>
          <w:lang w:eastAsia="en-GB"/>
        </w:rPr>
      </w:pPr>
    </w:p>
    <w:p w14:paraId="0290D359" w14:textId="77777777" w:rsidR="00D36F11" w:rsidRDefault="00D36F11" w:rsidP="0071435F">
      <w:pPr>
        <w:tabs>
          <w:tab w:val="left" w:pos="7590"/>
        </w:tabs>
        <w:rPr>
          <w:rFonts w:ascii="Arial" w:hAnsi="Arial" w:cs="Arial"/>
          <w:b/>
          <w:bCs/>
          <w:sz w:val="24"/>
          <w:szCs w:val="24"/>
        </w:rPr>
      </w:pPr>
    </w:p>
    <w:p w14:paraId="3F8E32B1" w14:textId="77777777" w:rsidR="00E322E2" w:rsidRDefault="00E322E2" w:rsidP="0071435F">
      <w:pPr>
        <w:tabs>
          <w:tab w:val="left" w:pos="7590"/>
        </w:tabs>
        <w:rPr>
          <w:rFonts w:ascii="Arial" w:hAnsi="Arial" w:cs="Arial"/>
          <w:b/>
          <w:bCs/>
          <w:sz w:val="24"/>
          <w:szCs w:val="24"/>
        </w:rPr>
      </w:pPr>
    </w:p>
    <w:p w14:paraId="0162EAEB" w14:textId="77777777" w:rsidR="00E322E2" w:rsidRDefault="00E322E2" w:rsidP="0071435F">
      <w:pPr>
        <w:tabs>
          <w:tab w:val="left" w:pos="7590"/>
        </w:tabs>
        <w:rPr>
          <w:rFonts w:ascii="Arial" w:hAnsi="Arial" w:cs="Arial"/>
          <w:b/>
          <w:bCs/>
          <w:sz w:val="24"/>
          <w:szCs w:val="24"/>
        </w:rPr>
      </w:pPr>
    </w:p>
    <w:p w14:paraId="48D49400" w14:textId="77777777" w:rsidR="00E322E2" w:rsidRDefault="00E322E2" w:rsidP="0071435F">
      <w:pPr>
        <w:tabs>
          <w:tab w:val="left" w:pos="7590"/>
        </w:tabs>
        <w:rPr>
          <w:rFonts w:ascii="Arial" w:hAnsi="Arial" w:cs="Arial"/>
          <w:b/>
          <w:bCs/>
          <w:sz w:val="24"/>
          <w:szCs w:val="24"/>
        </w:rPr>
      </w:pPr>
    </w:p>
    <w:p w14:paraId="63DB0B88" w14:textId="77777777" w:rsidR="00E322E2" w:rsidRDefault="00E322E2" w:rsidP="0071435F">
      <w:pPr>
        <w:tabs>
          <w:tab w:val="left" w:pos="7590"/>
        </w:tabs>
        <w:rPr>
          <w:rFonts w:ascii="Arial" w:hAnsi="Arial" w:cs="Arial"/>
          <w:b/>
          <w:bCs/>
          <w:sz w:val="24"/>
          <w:szCs w:val="24"/>
        </w:rPr>
      </w:pPr>
    </w:p>
    <w:p w14:paraId="3D9CD428" w14:textId="77777777" w:rsidR="00E322E2" w:rsidRPr="00B31317" w:rsidRDefault="00E322E2" w:rsidP="0071435F">
      <w:pPr>
        <w:tabs>
          <w:tab w:val="left" w:pos="7590"/>
        </w:tabs>
        <w:rPr>
          <w:rFonts w:ascii="Arial" w:hAnsi="Arial" w:cs="Arial"/>
          <w:b/>
          <w:bCs/>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6480"/>
      </w:tblGrid>
      <w:tr w:rsidR="00D36F11" w:rsidRPr="00B31317" w14:paraId="4C948107" w14:textId="77777777" w:rsidTr="00C62400">
        <w:tc>
          <w:tcPr>
            <w:tcW w:w="2448" w:type="dxa"/>
            <w:shd w:val="clear" w:color="auto" w:fill="auto"/>
          </w:tcPr>
          <w:p w14:paraId="0908B8D4" w14:textId="77777777" w:rsidR="00D36F11" w:rsidRPr="00B31317" w:rsidRDefault="00D36F11" w:rsidP="00C62400">
            <w:pPr>
              <w:rPr>
                <w:rFonts w:ascii="Arial" w:eastAsia="Times New Roman" w:hAnsi="Arial" w:cs="Arial"/>
                <w:sz w:val="24"/>
                <w:szCs w:val="24"/>
                <w:lang w:eastAsia="en-GB"/>
              </w:rPr>
            </w:pPr>
            <w:bookmarkStart w:id="1" w:name="_Hlk138926687"/>
            <w:r w:rsidRPr="00B31317">
              <w:rPr>
                <w:rFonts w:ascii="Arial" w:eastAsia="Times New Roman" w:hAnsi="Arial" w:cs="Arial"/>
                <w:sz w:val="24"/>
                <w:szCs w:val="24"/>
                <w:lang w:eastAsia="en-GB"/>
              </w:rPr>
              <w:t xml:space="preserve">For more information please contact: </w:t>
            </w:r>
          </w:p>
          <w:p w14:paraId="2EA75909" w14:textId="77777777" w:rsidR="00D36F11" w:rsidRPr="00B31317" w:rsidRDefault="00D36F11" w:rsidP="00C62400">
            <w:pPr>
              <w:rPr>
                <w:rFonts w:ascii="Arial" w:eastAsia="Times New Roman" w:hAnsi="Arial" w:cs="Arial"/>
                <w:sz w:val="24"/>
                <w:szCs w:val="24"/>
                <w:lang w:eastAsia="en-GB"/>
              </w:rPr>
            </w:pPr>
          </w:p>
        </w:tc>
        <w:tc>
          <w:tcPr>
            <w:tcW w:w="6480" w:type="dxa"/>
            <w:shd w:val="clear" w:color="auto" w:fill="auto"/>
          </w:tcPr>
          <w:p w14:paraId="4EE4C11D" w14:textId="7B4D82D0" w:rsidR="000B7995" w:rsidRPr="000B7995" w:rsidRDefault="00D36F11" w:rsidP="000B7995">
            <w:pPr>
              <w:rPr>
                <w:rFonts w:ascii="Arial" w:eastAsia="Times New Roman" w:hAnsi="Arial" w:cs="Arial"/>
                <w:sz w:val="24"/>
                <w:szCs w:val="24"/>
                <w:lang w:eastAsia="en-GB"/>
              </w:rPr>
            </w:pPr>
            <w:r w:rsidRPr="000B7995">
              <w:rPr>
                <w:rFonts w:ascii="Arial" w:eastAsia="Times New Roman" w:hAnsi="Arial" w:cs="Arial"/>
                <w:sz w:val="24"/>
                <w:szCs w:val="24"/>
                <w:lang w:eastAsia="en-GB"/>
              </w:rPr>
              <w:t>Name:</w:t>
            </w:r>
            <w:r w:rsidR="000B7995" w:rsidRPr="000B7995">
              <w:rPr>
                <w:rFonts w:ascii="Arial" w:eastAsia="Times New Roman" w:hAnsi="Arial" w:cs="Arial"/>
                <w:sz w:val="24"/>
                <w:szCs w:val="24"/>
                <w:lang w:eastAsia="en-GB"/>
              </w:rPr>
              <w:t xml:space="preserve"> </w:t>
            </w:r>
            <w:r w:rsidR="002B18A6">
              <w:rPr>
                <w:rFonts w:ascii="Arial" w:eastAsia="Times New Roman" w:hAnsi="Arial" w:cs="Arial"/>
                <w:sz w:val="24"/>
                <w:szCs w:val="24"/>
                <w:lang w:eastAsia="en-GB"/>
              </w:rPr>
              <w:t>Nick Tait</w:t>
            </w:r>
          </w:p>
          <w:p w14:paraId="5DF81214" w14:textId="1F423BCB" w:rsidR="002B18A6" w:rsidRDefault="002B18A6" w:rsidP="000B7995">
            <w:pPr>
              <w:rPr>
                <w:rFonts w:ascii="Arial" w:hAnsi="Arial" w:cs="Arial"/>
                <w:sz w:val="24"/>
                <w:szCs w:val="24"/>
                <w:lang w:eastAsia="en-GB"/>
              </w:rPr>
            </w:pPr>
            <w:r>
              <w:rPr>
                <w:rFonts w:ascii="Arial" w:hAnsi="Arial" w:cs="Arial"/>
                <w:sz w:val="24"/>
                <w:szCs w:val="24"/>
                <w:lang w:eastAsia="en-GB"/>
              </w:rPr>
              <w:t>Service Manager – Policy, Planning North</w:t>
            </w:r>
          </w:p>
          <w:p w14:paraId="650F8BB2" w14:textId="32093E51" w:rsidR="00D36F11" w:rsidRPr="000B7995" w:rsidRDefault="000B7995" w:rsidP="000B7995">
            <w:pPr>
              <w:rPr>
                <w:rFonts w:ascii="Arial" w:eastAsia="Times New Roman" w:hAnsi="Arial" w:cs="Arial"/>
                <w:sz w:val="24"/>
                <w:szCs w:val="24"/>
                <w:lang w:eastAsia="en-GB"/>
              </w:rPr>
            </w:pPr>
            <w:r w:rsidRPr="000B7995">
              <w:rPr>
                <w:rFonts w:ascii="Arial" w:hAnsi="Arial" w:cs="Arial"/>
                <w:sz w:val="24"/>
                <w:szCs w:val="24"/>
                <w:lang w:eastAsia="en-GB"/>
              </w:rPr>
              <w:t xml:space="preserve">Email: </w:t>
            </w:r>
            <w:r w:rsidR="002B18A6">
              <w:rPr>
                <w:rFonts w:ascii="Arial" w:hAnsi="Arial" w:cs="Arial"/>
                <w:sz w:val="24"/>
                <w:szCs w:val="24"/>
                <w:lang w:eastAsia="en-GB"/>
              </w:rPr>
              <w:t>nick.tait</w:t>
            </w:r>
            <w:r w:rsidRPr="000B7995">
              <w:rPr>
                <w:rFonts w:ascii="Arial" w:hAnsi="Arial" w:cs="Arial"/>
                <w:sz w:val="24"/>
                <w:szCs w:val="24"/>
                <w:lang w:eastAsia="en-GB"/>
              </w:rPr>
              <w:t>@somerset.gov.uk</w:t>
            </w:r>
            <w:r w:rsidR="00D36F11" w:rsidRPr="000B7995">
              <w:rPr>
                <w:rStyle w:val="normaltextrun"/>
                <w:rFonts w:ascii="Arial" w:eastAsia="Times New Roman" w:hAnsi="Arial" w:cs="Arial"/>
                <w:color w:val="000000"/>
                <w:sz w:val="24"/>
                <w:szCs w:val="24"/>
              </w:rPr>
              <w:t xml:space="preserve"> </w:t>
            </w:r>
          </w:p>
          <w:p w14:paraId="5ED28065" w14:textId="1FA2169C" w:rsidR="00D36F11" w:rsidRPr="00B31317" w:rsidRDefault="00D36F11" w:rsidP="000B7995">
            <w:pPr>
              <w:rPr>
                <w:rFonts w:ascii="Arial" w:eastAsia="Times New Roman" w:hAnsi="Arial" w:cs="Arial"/>
                <w:sz w:val="24"/>
                <w:szCs w:val="24"/>
                <w:lang w:eastAsia="en-GB"/>
              </w:rPr>
            </w:pPr>
          </w:p>
        </w:tc>
      </w:tr>
      <w:bookmarkEnd w:id="1"/>
    </w:tbl>
    <w:p w14:paraId="355DA0B0" w14:textId="77777777" w:rsidR="002B18A6" w:rsidRDefault="002B18A6" w:rsidP="0071435F">
      <w:pPr>
        <w:tabs>
          <w:tab w:val="left" w:pos="7590"/>
        </w:tabs>
        <w:rPr>
          <w:rFonts w:ascii="Arial" w:hAnsi="Arial" w:cs="Arial"/>
          <w:b/>
          <w:bCs/>
          <w:sz w:val="24"/>
          <w:szCs w:val="24"/>
        </w:rPr>
      </w:pPr>
    </w:p>
    <w:p w14:paraId="0BE4B6C3" w14:textId="77777777" w:rsidR="002B18A6" w:rsidRDefault="002B18A6" w:rsidP="002B18A6">
      <w:pPr>
        <w:spacing w:after="0" w:line="240" w:lineRule="auto"/>
        <w:jc w:val="both"/>
        <w:textAlignment w:val="baseline"/>
        <w:rPr>
          <w:rFonts w:ascii="Arial" w:eastAsia="Times New Roman" w:hAnsi="Arial" w:cs="Arial"/>
          <w:b/>
          <w:bCs/>
          <w:lang w:eastAsia="en-GB"/>
        </w:rPr>
      </w:pPr>
    </w:p>
    <w:p w14:paraId="2DD690E4" w14:textId="77777777" w:rsidR="002B18A6" w:rsidRDefault="002B18A6" w:rsidP="002B18A6">
      <w:pPr>
        <w:spacing w:after="0" w:line="240" w:lineRule="auto"/>
        <w:jc w:val="both"/>
        <w:textAlignment w:val="baseline"/>
        <w:rPr>
          <w:rFonts w:ascii="Arial" w:eastAsia="Times New Roman" w:hAnsi="Arial" w:cs="Arial"/>
          <w:b/>
          <w:bCs/>
          <w:lang w:eastAsia="en-GB"/>
        </w:rPr>
      </w:pPr>
    </w:p>
    <w:p w14:paraId="4AA2C0EA" w14:textId="77777777" w:rsidR="002B18A6" w:rsidRDefault="002B18A6" w:rsidP="002B18A6">
      <w:pPr>
        <w:spacing w:after="0" w:line="240" w:lineRule="auto"/>
        <w:jc w:val="both"/>
        <w:textAlignment w:val="baseline"/>
        <w:rPr>
          <w:rFonts w:ascii="Arial" w:eastAsia="Times New Roman" w:hAnsi="Arial" w:cs="Arial"/>
          <w:b/>
          <w:bCs/>
          <w:lang w:eastAsia="en-GB"/>
        </w:rPr>
      </w:pPr>
    </w:p>
    <w:p w14:paraId="1B278981" w14:textId="77777777" w:rsidR="002B18A6" w:rsidRDefault="002B18A6" w:rsidP="002B18A6">
      <w:pPr>
        <w:spacing w:after="0" w:line="240" w:lineRule="auto"/>
        <w:jc w:val="both"/>
        <w:textAlignment w:val="baseline"/>
        <w:rPr>
          <w:rFonts w:ascii="Arial" w:eastAsia="Times New Roman" w:hAnsi="Arial" w:cs="Arial"/>
          <w:b/>
          <w:bCs/>
          <w:lang w:eastAsia="en-GB"/>
        </w:rPr>
      </w:pPr>
    </w:p>
    <w:p w14:paraId="7324715B" w14:textId="77777777" w:rsidR="002B18A6" w:rsidRDefault="002B18A6" w:rsidP="002B18A6">
      <w:pPr>
        <w:spacing w:after="0" w:line="240" w:lineRule="auto"/>
        <w:jc w:val="both"/>
        <w:textAlignment w:val="baseline"/>
        <w:rPr>
          <w:rFonts w:ascii="Arial" w:eastAsia="Times New Roman" w:hAnsi="Arial" w:cs="Arial"/>
          <w:b/>
          <w:bCs/>
          <w:lang w:eastAsia="en-GB"/>
        </w:rPr>
      </w:pPr>
    </w:p>
    <w:p w14:paraId="05E8CD20" w14:textId="77777777" w:rsidR="002B18A6" w:rsidRDefault="002B18A6" w:rsidP="002B18A6">
      <w:pPr>
        <w:spacing w:after="0" w:line="240" w:lineRule="auto"/>
        <w:jc w:val="both"/>
        <w:textAlignment w:val="baseline"/>
        <w:rPr>
          <w:rFonts w:ascii="Arial" w:eastAsia="Times New Roman" w:hAnsi="Arial" w:cs="Arial"/>
          <w:b/>
          <w:bCs/>
          <w:lang w:eastAsia="en-GB"/>
        </w:rPr>
      </w:pPr>
    </w:p>
    <w:p w14:paraId="7F92ED2C" w14:textId="77777777" w:rsidR="002B18A6" w:rsidRDefault="002B18A6" w:rsidP="002B18A6">
      <w:pPr>
        <w:spacing w:after="0" w:line="240" w:lineRule="auto"/>
        <w:jc w:val="both"/>
        <w:textAlignment w:val="baseline"/>
        <w:rPr>
          <w:rFonts w:ascii="Arial" w:eastAsia="Times New Roman" w:hAnsi="Arial" w:cs="Arial"/>
          <w:b/>
          <w:bCs/>
          <w:lang w:eastAsia="en-GB"/>
        </w:rPr>
      </w:pPr>
    </w:p>
    <w:p w14:paraId="52421726" w14:textId="77777777" w:rsidR="002B18A6" w:rsidRDefault="002B18A6" w:rsidP="002B18A6">
      <w:pPr>
        <w:spacing w:after="0" w:line="240" w:lineRule="auto"/>
        <w:jc w:val="both"/>
        <w:textAlignment w:val="baseline"/>
        <w:rPr>
          <w:rFonts w:ascii="Arial" w:eastAsia="Times New Roman" w:hAnsi="Arial" w:cs="Arial"/>
          <w:b/>
          <w:bCs/>
          <w:lang w:eastAsia="en-GB"/>
        </w:rPr>
      </w:pPr>
    </w:p>
    <w:p w14:paraId="3CDBA8AC" w14:textId="77777777" w:rsidR="002B18A6" w:rsidRDefault="002B18A6" w:rsidP="002B18A6">
      <w:pPr>
        <w:spacing w:after="0" w:line="240" w:lineRule="auto"/>
        <w:jc w:val="both"/>
        <w:textAlignment w:val="baseline"/>
        <w:rPr>
          <w:rFonts w:ascii="Arial" w:eastAsia="Times New Roman" w:hAnsi="Arial" w:cs="Arial"/>
          <w:b/>
          <w:bCs/>
          <w:lang w:eastAsia="en-GB"/>
        </w:rPr>
      </w:pPr>
    </w:p>
    <w:p w14:paraId="7EE4AF62" w14:textId="77777777" w:rsidR="002B18A6" w:rsidRDefault="002B18A6" w:rsidP="002B18A6">
      <w:pPr>
        <w:spacing w:after="0" w:line="240" w:lineRule="auto"/>
        <w:jc w:val="both"/>
        <w:textAlignment w:val="baseline"/>
        <w:rPr>
          <w:rFonts w:ascii="Arial" w:eastAsia="Times New Roman" w:hAnsi="Arial" w:cs="Arial"/>
          <w:b/>
          <w:bCs/>
          <w:lang w:eastAsia="en-GB"/>
        </w:rPr>
      </w:pPr>
    </w:p>
    <w:p w14:paraId="15B2E4A8" w14:textId="77777777" w:rsidR="002B18A6" w:rsidRDefault="002B18A6" w:rsidP="002B18A6">
      <w:pPr>
        <w:spacing w:after="0" w:line="240" w:lineRule="auto"/>
        <w:jc w:val="both"/>
        <w:textAlignment w:val="baseline"/>
        <w:rPr>
          <w:rFonts w:ascii="Arial" w:eastAsia="Times New Roman" w:hAnsi="Arial" w:cs="Arial"/>
          <w:b/>
          <w:bCs/>
          <w:lang w:eastAsia="en-GB"/>
        </w:rPr>
      </w:pPr>
    </w:p>
    <w:p w14:paraId="4E9854A6" w14:textId="77777777" w:rsidR="002B18A6" w:rsidRDefault="002B18A6" w:rsidP="002B18A6">
      <w:pPr>
        <w:spacing w:after="0" w:line="240" w:lineRule="auto"/>
        <w:jc w:val="both"/>
        <w:textAlignment w:val="baseline"/>
        <w:rPr>
          <w:rFonts w:ascii="Arial" w:eastAsia="Times New Roman" w:hAnsi="Arial" w:cs="Arial"/>
          <w:b/>
          <w:bCs/>
          <w:lang w:eastAsia="en-GB"/>
        </w:rPr>
      </w:pPr>
    </w:p>
    <w:p w14:paraId="69993C42" w14:textId="77777777" w:rsidR="002B18A6" w:rsidRDefault="002B18A6" w:rsidP="002B18A6">
      <w:pPr>
        <w:spacing w:after="0" w:line="240" w:lineRule="auto"/>
        <w:jc w:val="both"/>
        <w:textAlignment w:val="baseline"/>
        <w:rPr>
          <w:rFonts w:ascii="Arial" w:eastAsia="Times New Roman" w:hAnsi="Arial" w:cs="Arial"/>
          <w:b/>
          <w:bCs/>
          <w:lang w:eastAsia="en-GB"/>
        </w:rPr>
      </w:pPr>
    </w:p>
    <w:p w14:paraId="22CAF512" w14:textId="77777777" w:rsidR="002B18A6" w:rsidRDefault="002B18A6" w:rsidP="002B18A6">
      <w:pPr>
        <w:spacing w:after="0" w:line="240" w:lineRule="auto"/>
        <w:jc w:val="both"/>
        <w:textAlignment w:val="baseline"/>
        <w:rPr>
          <w:rFonts w:ascii="Arial" w:eastAsia="Times New Roman" w:hAnsi="Arial" w:cs="Arial"/>
          <w:b/>
          <w:bCs/>
          <w:lang w:eastAsia="en-GB"/>
        </w:rPr>
      </w:pPr>
    </w:p>
    <w:p w14:paraId="306E834D" w14:textId="77777777" w:rsidR="002B18A6" w:rsidRDefault="002B18A6" w:rsidP="002B18A6">
      <w:pPr>
        <w:spacing w:after="0" w:line="240" w:lineRule="auto"/>
        <w:jc w:val="both"/>
        <w:textAlignment w:val="baseline"/>
        <w:rPr>
          <w:rFonts w:ascii="Arial" w:eastAsia="Times New Roman" w:hAnsi="Arial" w:cs="Arial"/>
          <w:b/>
          <w:bCs/>
          <w:lang w:eastAsia="en-GB"/>
        </w:rPr>
      </w:pPr>
    </w:p>
    <w:p w14:paraId="6AE57E5D" w14:textId="77777777" w:rsidR="002B18A6" w:rsidRDefault="002B18A6" w:rsidP="002B18A6">
      <w:pPr>
        <w:spacing w:after="0" w:line="240" w:lineRule="auto"/>
        <w:jc w:val="both"/>
        <w:textAlignment w:val="baseline"/>
        <w:rPr>
          <w:rFonts w:ascii="Arial" w:eastAsia="Times New Roman" w:hAnsi="Arial" w:cs="Arial"/>
          <w:b/>
          <w:bCs/>
          <w:lang w:eastAsia="en-GB"/>
        </w:rPr>
      </w:pPr>
    </w:p>
    <w:p w14:paraId="4F1EF9F0" w14:textId="77777777" w:rsidR="002B18A6" w:rsidRDefault="002B18A6" w:rsidP="002B18A6">
      <w:pPr>
        <w:spacing w:after="0" w:line="240" w:lineRule="auto"/>
        <w:jc w:val="both"/>
        <w:textAlignment w:val="baseline"/>
        <w:rPr>
          <w:rFonts w:ascii="Arial" w:eastAsia="Times New Roman" w:hAnsi="Arial" w:cs="Arial"/>
          <w:b/>
          <w:bCs/>
          <w:lang w:eastAsia="en-GB"/>
        </w:rPr>
      </w:pPr>
    </w:p>
    <w:p w14:paraId="011B5EFB" w14:textId="77777777" w:rsidR="002B18A6" w:rsidRDefault="002B18A6" w:rsidP="002B18A6">
      <w:pPr>
        <w:spacing w:after="0" w:line="240" w:lineRule="auto"/>
        <w:jc w:val="both"/>
        <w:textAlignment w:val="baseline"/>
        <w:rPr>
          <w:rFonts w:ascii="Arial" w:eastAsia="Times New Roman" w:hAnsi="Arial" w:cs="Arial"/>
          <w:b/>
          <w:bCs/>
          <w:lang w:eastAsia="en-GB"/>
        </w:rPr>
      </w:pPr>
    </w:p>
    <w:p w14:paraId="2AB6F17B" w14:textId="77777777" w:rsidR="002B18A6" w:rsidRDefault="002B18A6" w:rsidP="002B18A6">
      <w:pPr>
        <w:spacing w:after="0" w:line="240" w:lineRule="auto"/>
        <w:jc w:val="both"/>
        <w:textAlignment w:val="baseline"/>
        <w:rPr>
          <w:rFonts w:ascii="Arial" w:eastAsia="Times New Roman" w:hAnsi="Arial" w:cs="Arial"/>
          <w:b/>
          <w:bCs/>
          <w:lang w:eastAsia="en-GB"/>
        </w:rPr>
      </w:pPr>
    </w:p>
    <w:p w14:paraId="00E56CA1" w14:textId="77777777" w:rsidR="002B18A6" w:rsidRDefault="002B18A6" w:rsidP="002B18A6">
      <w:pPr>
        <w:spacing w:after="0" w:line="240" w:lineRule="auto"/>
        <w:jc w:val="both"/>
        <w:textAlignment w:val="baseline"/>
        <w:rPr>
          <w:rFonts w:ascii="Arial" w:eastAsia="Times New Roman" w:hAnsi="Arial" w:cs="Arial"/>
          <w:b/>
          <w:bCs/>
          <w:lang w:eastAsia="en-GB"/>
        </w:rPr>
      </w:pPr>
    </w:p>
    <w:p w14:paraId="18AB1DEE" w14:textId="77777777" w:rsidR="002B18A6" w:rsidRDefault="002B18A6" w:rsidP="002B18A6">
      <w:pPr>
        <w:spacing w:after="0" w:line="240" w:lineRule="auto"/>
        <w:jc w:val="both"/>
        <w:textAlignment w:val="baseline"/>
        <w:rPr>
          <w:rFonts w:ascii="Arial" w:eastAsia="Times New Roman" w:hAnsi="Arial" w:cs="Arial"/>
          <w:b/>
          <w:bCs/>
          <w:lang w:eastAsia="en-GB"/>
        </w:rPr>
      </w:pPr>
    </w:p>
    <w:p w14:paraId="41D94E27" w14:textId="7C851608" w:rsidR="002B18A6" w:rsidRPr="009D6A30" w:rsidRDefault="002B18A6" w:rsidP="002B18A6">
      <w:pPr>
        <w:spacing w:after="0" w:line="240" w:lineRule="auto"/>
        <w:jc w:val="both"/>
        <w:textAlignment w:val="baseline"/>
        <w:rPr>
          <w:rFonts w:ascii="Arial" w:eastAsia="Times New Roman" w:hAnsi="Arial" w:cs="Arial"/>
          <w:b/>
          <w:bCs/>
          <w:lang w:eastAsia="en-GB"/>
        </w:rPr>
      </w:pPr>
      <w:r w:rsidRPr="009D6A30">
        <w:rPr>
          <w:rFonts w:ascii="Arial" w:eastAsia="Times New Roman" w:hAnsi="Arial" w:cs="Arial"/>
          <w:b/>
          <w:bCs/>
          <w:lang w:eastAsia="en-GB"/>
        </w:rPr>
        <w:t>Summary of Somerset Council response to the technical consultation on the Infrastructure Levy</w:t>
      </w:r>
    </w:p>
    <w:p w14:paraId="4897F859" w14:textId="77777777" w:rsidR="002B18A6" w:rsidRPr="00121714" w:rsidRDefault="002B18A6" w:rsidP="002B18A6">
      <w:pPr>
        <w:spacing w:after="0" w:line="240" w:lineRule="auto"/>
        <w:jc w:val="both"/>
        <w:textAlignment w:val="baseline"/>
        <w:rPr>
          <w:rFonts w:ascii="Segoe UI" w:eastAsia="Times New Roman" w:hAnsi="Segoe UI" w:cs="Segoe UI"/>
          <w:sz w:val="18"/>
          <w:szCs w:val="18"/>
          <w:lang w:eastAsia="en-GB"/>
        </w:rPr>
      </w:pPr>
    </w:p>
    <w:tbl>
      <w:tblPr>
        <w:tblW w:w="904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702"/>
        <w:gridCol w:w="6340"/>
      </w:tblGrid>
      <w:tr w:rsidR="002B18A6" w:rsidRPr="00121714" w14:paraId="07BF7944" w14:textId="77777777" w:rsidTr="00F341E0">
        <w:trPr>
          <w:trHeight w:val="300"/>
        </w:trPr>
        <w:tc>
          <w:tcPr>
            <w:tcW w:w="2702" w:type="dxa"/>
            <w:tcBorders>
              <w:top w:val="single" w:sz="6" w:space="0" w:color="auto"/>
              <w:left w:val="single" w:sz="6" w:space="0" w:color="auto"/>
              <w:bottom w:val="single" w:sz="6" w:space="0" w:color="auto"/>
              <w:right w:val="single" w:sz="6" w:space="0" w:color="auto"/>
            </w:tcBorders>
            <w:shd w:val="clear" w:color="auto" w:fill="D9D9D9"/>
            <w:hideMark/>
          </w:tcPr>
          <w:p w14:paraId="091F416E" w14:textId="77777777" w:rsidR="002B18A6" w:rsidRPr="00121714" w:rsidRDefault="002B18A6" w:rsidP="00F341E0">
            <w:pPr>
              <w:spacing w:after="0" w:line="240" w:lineRule="auto"/>
              <w:jc w:val="both"/>
              <w:textAlignment w:val="baseline"/>
              <w:rPr>
                <w:rFonts w:ascii="Times New Roman" w:eastAsia="Times New Roman" w:hAnsi="Times New Roman" w:cs="Times New Roman"/>
                <w:sz w:val="24"/>
                <w:szCs w:val="24"/>
                <w:lang w:eastAsia="en-GB"/>
              </w:rPr>
            </w:pPr>
            <w:r w:rsidRPr="00121714">
              <w:rPr>
                <w:rFonts w:ascii="Arial" w:eastAsia="Times New Roman" w:hAnsi="Arial" w:cs="Arial"/>
                <w:sz w:val="20"/>
                <w:szCs w:val="20"/>
                <w:lang w:eastAsia="en-GB"/>
              </w:rPr>
              <w:t>Topic  </w:t>
            </w:r>
          </w:p>
        </w:tc>
        <w:tc>
          <w:tcPr>
            <w:tcW w:w="6340" w:type="dxa"/>
            <w:tcBorders>
              <w:top w:val="single" w:sz="6" w:space="0" w:color="auto"/>
              <w:left w:val="single" w:sz="6" w:space="0" w:color="auto"/>
              <w:bottom w:val="single" w:sz="6" w:space="0" w:color="auto"/>
              <w:right w:val="single" w:sz="6" w:space="0" w:color="auto"/>
            </w:tcBorders>
            <w:shd w:val="clear" w:color="auto" w:fill="D9D9D9"/>
            <w:hideMark/>
          </w:tcPr>
          <w:p w14:paraId="0F1DDD4D" w14:textId="77777777" w:rsidR="002B18A6" w:rsidRPr="00121714" w:rsidRDefault="002B18A6" w:rsidP="00F341E0">
            <w:pPr>
              <w:spacing w:after="0" w:line="240" w:lineRule="auto"/>
              <w:jc w:val="both"/>
              <w:textAlignment w:val="baseline"/>
              <w:rPr>
                <w:rFonts w:ascii="Times New Roman" w:eastAsia="Times New Roman" w:hAnsi="Times New Roman" w:cs="Times New Roman"/>
                <w:sz w:val="24"/>
                <w:szCs w:val="24"/>
                <w:lang w:eastAsia="en-GB"/>
              </w:rPr>
            </w:pPr>
            <w:r w:rsidRPr="00121714">
              <w:rPr>
                <w:rFonts w:ascii="Arial" w:eastAsia="Times New Roman" w:hAnsi="Arial" w:cs="Arial"/>
                <w:sz w:val="18"/>
                <w:szCs w:val="18"/>
                <w:lang w:eastAsia="en-GB"/>
              </w:rPr>
              <w:t>Response  </w:t>
            </w:r>
          </w:p>
        </w:tc>
      </w:tr>
      <w:tr w:rsidR="002B18A6" w:rsidRPr="00121714" w14:paraId="0FDC376A" w14:textId="77777777" w:rsidTr="00F341E0">
        <w:trPr>
          <w:trHeight w:val="300"/>
        </w:trPr>
        <w:tc>
          <w:tcPr>
            <w:tcW w:w="9042" w:type="dxa"/>
            <w:gridSpan w:val="2"/>
            <w:tcBorders>
              <w:top w:val="single" w:sz="6" w:space="0" w:color="auto"/>
              <w:left w:val="single" w:sz="6" w:space="0" w:color="auto"/>
              <w:bottom w:val="single" w:sz="6" w:space="0" w:color="auto"/>
              <w:right w:val="single" w:sz="6" w:space="0" w:color="auto"/>
            </w:tcBorders>
            <w:shd w:val="clear" w:color="auto" w:fill="auto"/>
            <w:hideMark/>
          </w:tcPr>
          <w:p w14:paraId="579BD236" w14:textId="77777777" w:rsidR="002B18A6" w:rsidRPr="00121714" w:rsidRDefault="002B18A6" w:rsidP="00F341E0">
            <w:pPr>
              <w:spacing w:after="0" w:line="240" w:lineRule="auto"/>
              <w:jc w:val="both"/>
              <w:textAlignment w:val="baseline"/>
              <w:rPr>
                <w:rFonts w:ascii="Times New Roman" w:eastAsia="Times New Roman" w:hAnsi="Times New Roman" w:cs="Times New Roman"/>
                <w:sz w:val="24"/>
                <w:szCs w:val="24"/>
                <w:lang w:eastAsia="en-GB"/>
              </w:rPr>
            </w:pPr>
            <w:r w:rsidRPr="00121714">
              <w:rPr>
                <w:rFonts w:ascii="Arial" w:eastAsia="Times New Roman" w:hAnsi="Arial" w:cs="Arial"/>
                <w:b/>
                <w:bCs/>
                <w:sz w:val="20"/>
                <w:szCs w:val="20"/>
                <w:lang w:eastAsia="en-GB"/>
              </w:rPr>
              <w:t>Fundamental design choices</w:t>
            </w:r>
            <w:r w:rsidRPr="00121714">
              <w:rPr>
                <w:rFonts w:ascii="Arial" w:eastAsia="Times New Roman" w:hAnsi="Arial" w:cs="Arial"/>
                <w:sz w:val="20"/>
                <w:szCs w:val="20"/>
                <w:lang w:eastAsia="en-GB"/>
              </w:rPr>
              <w:t> </w:t>
            </w:r>
          </w:p>
        </w:tc>
      </w:tr>
      <w:tr w:rsidR="002B18A6" w:rsidRPr="00121714" w14:paraId="1C0AD144" w14:textId="77777777" w:rsidTr="00F341E0">
        <w:trPr>
          <w:trHeight w:val="525"/>
        </w:trPr>
        <w:tc>
          <w:tcPr>
            <w:tcW w:w="2702" w:type="dxa"/>
            <w:tcBorders>
              <w:top w:val="single" w:sz="6" w:space="0" w:color="auto"/>
              <w:left w:val="single" w:sz="6" w:space="0" w:color="auto"/>
              <w:bottom w:val="single" w:sz="6" w:space="0" w:color="auto"/>
              <w:right w:val="single" w:sz="6" w:space="0" w:color="auto"/>
            </w:tcBorders>
            <w:shd w:val="clear" w:color="auto" w:fill="auto"/>
            <w:hideMark/>
          </w:tcPr>
          <w:p w14:paraId="0E46902A" w14:textId="77777777" w:rsidR="002B18A6" w:rsidRPr="00E2639F" w:rsidRDefault="002B18A6" w:rsidP="00F341E0">
            <w:pPr>
              <w:pStyle w:val="ListParagraph"/>
              <w:numPr>
                <w:ilvl w:val="0"/>
                <w:numId w:val="16"/>
              </w:numPr>
              <w:spacing w:after="0" w:line="240" w:lineRule="auto"/>
              <w:textAlignment w:val="baseline"/>
              <w:rPr>
                <w:rFonts w:ascii="Arial" w:eastAsia="Times New Roman" w:hAnsi="Arial" w:cs="Arial"/>
                <w:kern w:val="0"/>
                <w:sz w:val="20"/>
                <w:szCs w:val="20"/>
                <w:lang w:eastAsia="en-GB"/>
                <w14:ligatures w14:val="none"/>
              </w:rPr>
            </w:pPr>
            <w:r w:rsidRPr="00E2639F">
              <w:rPr>
                <w:rFonts w:ascii="Arial" w:eastAsia="Times New Roman" w:hAnsi="Arial" w:cs="Arial"/>
                <w:kern w:val="0"/>
                <w:sz w:val="20"/>
                <w:szCs w:val="20"/>
                <w:lang w:eastAsia="en-GB"/>
                <w14:ligatures w14:val="none"/>
              </w:rPr>
              <w:t>Scope of the Levy </w:t>
            </w:r>
          </w:p>
          <w:p w14:paraId="441546A4" w14:textId="77777777" w:rsidR="002B18A6" w:rsidRPr="00E2639F" w:rsidRDefault="002B18A6" w:rsidP="00F341E0">
            <w:pPr>
              <w:pStyle w:val="ListParagraph"/>
              <w:numPr>
                <w:ilvl w:val="0"/>
                <w:numId w:val="16"/>
              </w:numPr>
              <w:spacing w:after="0" w:line="240" w:lineRule="auto"/>
              <w:textAlignment w:val="baseline"/>
              <w:rPr>
                <w:rFonts w:ascii="Arial" w:eastAsia="Times New Roman" w:hAnsi="Arial" w:cs="Arial"/>
                <w:kern w:val="0"/>
                <w:sz w:val="20"/>
                <w:szCs w:val="20"/>
                <w:lang w:eastAsia="en-GB"/>
                <w14:ligatures w14:val="none"/>
              </w:rPr>
            </w:pPr>
            <w:r w:rsidRPr="00E2639F">
              <w:rPr>
                <w:rFonts w:ascii="Arial" w:eastAsia="Times New Roman" w:hAnsi="Arial" w:cs="Arial"/>
                <w:kern w:val="0"/>
                <w:sz w:val="20"/>
                <w:szCs w:val="20"/>
                <w:lang w:eastAsia="en-GB"/>
                <w14:ligatures w14:val="none"/>
              </w:rPr>
              <w:t>Types of infrastructure under the Levy </w:t>
            </w:r>
          </w:p>
          <w:p w14:paraId="7F43E1EF" w14:textId="77777777" w:rsidR="002B18A6" w:rsidRPr="00E2639F" w:rsidRDefault="002B18A6" w:rsidP="00F341E0">
            <w:pPr>
              <w:pStyle w:val="ListParagraph"/>
              <w:numPr>
                <w:ilvl w:val="0"/>
                <w:numId w:val="16"/>
              </w:numPr>
              <w:spacing w:after="0" w:line="240" w:lineRule="auto"/>
              <w:textAlignment w:val="baseline"/>
              <w:rPr>
                <w:rFonts w:ascii="Arial" w:eastAsia="Times New Roman" w:hAnsi="Arial" w:cs="Arial"/>
                <w:kern w:val="0"/>
                <w:sz w:val="20"/>
                <w:szCs w:val="20"/>
                <w:lang w:eastAsia="en-GB"/>
                <w14:ligatures w14:val="none"/>
              </w:rPr>
            </w:pPr>
            <w:r w:rsidRPr="00E2639F">
              <w:rPr>
                <w:rFonts w:ascii="Arial" w:eastAsia="Times New Roman" w:hAnsi="Arial" w:cs="Arial"/>
                <w:kern w:val="0"/>
                <w:sz w:val="20"/>
                <w:szCs w:val="20"/>
                <w:lang w:eastAsia="en-GB"/>
                <w14:ligatures w14:val="none"/>
              </w:rPr>
              <w:t>Use of Section 106 &amp; routeways  </w:t>
            </w:r>
          </w:p>
          <w:p w14:paraId="6A3F7E4A" w14:textId="77777777" w:rsidR="002B18A6" w:rsidRPr="00121714" w:rsidRDefault="002B18A6" w:rsidP="00F341E0">
            <w:pPr>
              <w:spacing w:after="0" w:line="240" w:lineRule="auto"/>
              <w:jc w:val="both"/>
              <w:textAlignment w:val="baseline"/>
              <w:rPr>
                <w:rFonts w:ascii="Times New Roman" w:eastAsia="Times New Roman" w:hAnsi="Times New Roman" w:cs="Times New Roman"/>
                <w:sz w:val="24"/>
                <w:szCs w:val="24"/>
                <w:lang w:eastAsia="en-GB"/>
              </w:rPr>
            </w:pPr>
            <w:r w:rsidRPr="00121714">
              <w:rPr>
                <w:rFonts w:ascii="Arial" w:eastAsia="Times New Roman" w:hAnsi="Arial" w:cs="Arial"/>
                <w:sz w:val="20"/>
                <w:szCs w:val="20"/>
                <w:lang w:eastAsia="en-GB"/>
              </w:rPr>
              <w:t> </w:t>
            </w:r>
          </w:p>
        </w:tc>
        <w:tc>
          <w:tcPr>
            <w:tcW w:w="6340" w:type="dxa"/>
            <w:tcBorders>
              <w:top w:val="single" w:sz="6" w:space="0" w:color="auto"/>
              <w:left w:val="single" w:sz="6" w:space="0" w:color="auto"/>
              <w:bottom w:val="single" w:sz="6" w:space="0" w:color="auto"/>
              <w:right w:val="single" w:sz="6" w:space="0" w:color="auto"/>
            </w:tcBorders>
            <w:shd w:val="clear" w:color="auto" w:fill="auto"/>
            <w:hideMark/>
          </w:tcPr>
          <w:p w14:paraId="20DCCF73" w14:textId="77777777" w:rsidR="002B18A6" w:rsidRPr="00121714" w:rsidRDefault="002B18A6" w:rsidP="00F341E0">
            <w:pPr>
              <w:spacing w:after="0" w:line="240" w:lineRule="auto"/>
              <w:jc w:val="both"/>
              <w:textAlignment w:val="baseline"/>
              <w:rPr>
                <w:rFonts w:ascii="Times New Roman" w:eastAsia="Times New Roman" w:hAnsi="Times New Roman" w:cs="Times New Roman"/>
                <w:sz w:val="24"/>
                <w:szCs w:val="24"/>
                <w:lang w:eastAsia="en-GB"/>
              </w:rPr>
            </w:pPr>
            <w:r w:rsidRPr="00121714">
              <w:rPr>
                <w:rFonts w:ascii="Arial" w:eastAsia="Times New Roman" w:hAnsi="Arial" w:cs="Arial"/>
                <w:sz w:val="18"/>
                <w:szCs w:val="18"/>
                <w:lang w:eastAsia="en-GB"/>
              </w:rPr>
              <w:t xml:space="preserve">The Levy will apply to all types of development, aside from where exemptions apply. </w:t>
            </w:r>
            <w:r>
              <w:rPr>
                <w:rFonts w:ascii="Arial" w:eastAsia="Times New Roman" w:hAnsi="Arial" w:cs="Arial"/>
                <w:sz w:val="18"/>
                <w:szCs w:val="18"/>
                <w:lang w:eastAsia="en-GB"/>
              </w:rPr>
              <w:t>R</w:t>
            </w:r>
            <w:r w:rsidRPr="00121714">
              <w:rPr>
                <w:rFonts w:ascii="Arial" w:eastAsia="Times New Roman" w:hAnsi="Arial" w:cs="Arial"/>
                <w:sz w:val="18"/>
                <w:szCs w:val="18"/>
                <w:lang w:eastAsia="en-GB"/>
              </w:rPr>
              <w:t>esponse: </w:t>
            </w:r>
          </w:p>
          <w:p w14:paraId="520F3E33" w14:textId="77777777" w:rsidR="002B18A6" w:rsidRPr="00121714" w:rsidRDefault="002B18A6" w:rsidP="002B18A6">
            <w:pPr>
              <w:numPr>
                <w:ilvl w:val="0"/>
                <w:numId w:val="3"/>
              </w:numPr>
              <w:spacing w:after="0" w:line="240" w:lineRule="auto"/>
              <w:ind w:left="1080" w:firstLine="0"/>
              <w:jc w:val="both"/>
              <w:textAlignment w:val="baseline"/>
              <w:rPr>
                <w:rFonts w:ascii="Arial" w:eastAsia="Times New Roman" w:hAnsi="Arial" w:cs="Arial"/>
                <w:sz w:val="18"/>
                <w:szCs w:val="18"/>
                <w:lang w:eastAsia="en-GB"/>
              </w:rPr>
            </w:pPr>
            <w:r w:rsidRPr="00121714">
              <w:rPr>
                <w:rFonts w:ascii="Arial" w:eastAsia="Times New Roman" w:hAnsi="Arial" w:cs="Arial"/>
                <w:sz w:val="18"/>
                <w:szCs w:val="18"/>
                <w:lang w:eastAsia="en-GB"/>
              </w:rPr>
              <w:t>agree with the suggested definition of ‘development’. </w:t>
            </w:r>
          </w:p>
          <w:p w14:paraId="2DD2190C" w14:textId="77777777" w:rsidR="002B18A6" w:rsidRPr="00121714" w:rsidRDefault="002B18A6" w:rsidP="002B18A6">
            <w:pPr>
              <w:numPr>
                <w:ilvl w:val="0"/>
                <w:numId w:val="3"/>
              </w:numPr>
              <w:spacing w:after="0" w:line="240" w:lineRule="auto"/>
              <w:ind w:left="1080" w:firstLine="0"/>
              <w:jc w:val="both"/>
              <w:textAlignment w:val="baseline"/>
              <w:rPr>
                <w:rFonts w:ascii="Arial" w:eastAsia="Times New Roman" w:hAnsi="Arial" w:cs="Arial"/>
                <w:sz w:val="18"/>
                <w:szCs w:val="18"/>
                <w:lang w:eastAsia="en-GB"/>
              </w:rPr>
            </w:pPr>
            <w:r w:rsidRPr="00121714">
              <w:rPr>
                <w:rFonts w:ascii="Arial" w:eastAsia="Times New Roman" w:hAnsi="Arial" w:cs="Arial"/>
                <w:sz w:val="18"/>
                <w:szCs w:val="18"/>
                <w:lang w:eastAsia="en-GB"/>
              </w:rPr>
              <w:t>consider ‘integral’ infrastructure (for example: on site public open space, sustainable urban drainage etc) should continue to be provided directly by developers - outside of the scope of the Infrastructure Levy. SC notes the requirement of a definitive definition of ‘integral’ infrastructure deemed in regulations or policy – to avoid dispute. </w:t>
            </w:r>
          </w:p>
          <w:p w14:paraId="7017B820" w14:textId="77777777" w:rsidR="002B18A6" w:rsidRPr="00121714" w:rsidRDefault="002B18A6" w:rsidP="002B18A6">
            <w:pPr>
              <w:numPr>
                <w:ilvl w:val="0"/>
                <w:numId w:val="3"/>
              </w:numPr>
              <w:spacing w:after="0" w:line="240" w:lineRule="auto"/>
              <w:ind w:left="1080" w:firstLine="0"/>
              <w:jc w:val="both"/>
              <w:textAlignment w:val="baseline"/>
              <w:rPr>
                <w:rFonts w:ascii="Arial" w:eastAsia="Times New Roman" w:hAnsi="Arial" w:cs="Arial"/>
                <w:sz w:val="18"/>
                <w:szCs w:val="18"/>
                <w:lang w:eastAsia="en-GB"/>
              </w:rPr>
            </w:pPr>
            <w:r w:rsidRPr="00121714">
              <w:rPr>
                <w:rFonts w:ascii="Arial" w:eastAsia="Times New Roman" w:hAnsi="Arial" w:cs="Arial"/>
                <w:sz w:val="18"/>
                <w:szCs w:val="18"/>
                <w:lang w:eastAsia="en-GB"/>
              </w:rPr>
              <w:t>support the ability to define ‘integral’ infrastructure based on local circumstance. </w:t>
            </w:r>
          </w:p>
          <w:p w14:paraId="58FF8A80" w14:textId="77777777" w:rsidR="002B18A6" w:rsidRPr="00121714" w:rsidRDefault="002B18A6" w:rsidP="002B18A6">
            <w:pPr>
              <w:numPr>
                <w:ilvl w:val="0"/>
                <w:numId w:val="3"/>
              </w:numPr>
              <w:spacing w:after="0" w:line="240" w:lineRule="auto"/>
              <w:ind w:left="1080" w:firstLine="0"/>
              <w:jc w:val="both"/>
              <w:textAlignment w:val="baseline"/>
              <w:rPr>
                <w:rFonts w:ascii="Arial" w:eastAsia="Times New Roman" w:hAnsi="Arial" w:cs="Arial"/>
                <w:sz w:val="18"/>
                <w:szCs w:val="18"/>
                <w:lang w:eastAsia="en-GB"/>
              </w:rPr>
            </w:pPr>
            <w:r w:rsidRPr="00121714">
              <w:rPr>
                <w:rFonts w:ascii="Arial" w:eastAsia="Times New Roman" w:hAnsi="Arial" w:cs="Arial"/>
                <w:sz w:val="18"/>
                <w:szCs w:val="18"/>
                <w:lang w:eastAsia="en-GB"/>
              </w:rPr>
              <w:t>with regard to the Levy providing for non-infrastructure items such as service provision (</w:t>
            </w:r>
            <w:proofErr w:type="gramStart"/>
            <w:r w:rsidRPr="00121714">
              <w:rPr>
                <w:rFonts w:ascii="Arial" w:eastAsia="Times New Roman" w:hAnsi="Arial" w:cs="Arial"/>
                <w:sz w:val="18"/>
                <w:szCs w:val="18"/>
                <w:lang w:eastAsia="en-GB"/>
              </w:rPr>
              <w:t>e.g.</w:t>
            </w:r>
            <w:proofErr w:type="gramEnd"/>
            <w:r w:rsidRPr="00121714">
              <w:rPr>
                <w:rFonts w:ascii="Arial" w:eastAsia="Times New Roman" w:hAnsi="Arial" w:cs="Arial"/>
                <w:sz w:val="18"/>
                <w:szCs w:val="18"/>
                <w:lang w:eastAsia="en-GB"/>
              </w:rPr>
              <w:t xml:space="preserve"> public transport services, social care, subsidised childcare schemes), the response indicates that it will be imperative that if the scope of the Levy funds is extended to allow for service provision, that the Levy is not seen as a mechanism to address wider service funding deficits. It is noted that</w:t>
            </w:r>
            <w:r w:rsidRPr="00121714">
              <w:rPr>
                <w:rFonts w:ascii="Arial" w:eastAsia="Times New Roman" w:hAnsi="Arial" w:cs="Arial"/>
                <w:color w:val="1F497D"/>
                <w:sz w:val="18"/>
                <w:szCs w:val="18"/>
                <w:lang w:eastAsia="en-GB"/>
              </w:rPr>
              <w:t xml:space="preserve"> </w:t>
            </w:r>
            <w:r w:rsidRPr="00121714">
              <w:rPr>
                <w:rFonts w:ascii="Arial" w:eastAsia="Times New Roman" w:hAnsi="Arial" w:cs="Arial"/>
                <w:sz w:val="18"/>
                <w:szCs w:val="18"/>
                <w:lang w:eastAsia="en-GB"/>
              </w:rPr>
              <w:t xml:space="preserve">tight governance would be required. </w:t>
            </w:r>
            <w:r>
              <w:rPr>
                <w:rFonts w:ascii="Arial" w:eastAsia="Times New Roman" w:hAnsi="Arial" w:cs="Arial"/>
                <w:sz w:val="18"/>
                <w:szCs w:val="18"/>
                <w:lang w:eastAsia="en-GB"/>
              </w:rPr>
              <w:t>A</w:t>
            </w:r>
            <w:r w:rsidRPr="00121714">
              <w:rPr>
                <w:rFonts w:ascii="Arial" w:eastAsia="Times New Roman" w:hAnsi="Arial" w:cs="Arial"/>
                <w:sz w:val="18"/>
                <w:szCs w:val="18"/>
                <w:lang w:eastAsia="en-GB"/>
              </w:rPr>
              <w:t>gree that Local Authorities should prioritise infrastructure and affordable housing need before non-infrastructure items. </w:t>
            </w:r>
          </w:p>
          <w:p w14:paraId="5E713979" w14:textId="77777777" w:rsidR="002B18A6" w:rsidRPr="00121714" w:rsidRDefault="002B18A6" w:rsidP="002B18A6">
            <w:pPr>
              <w:numPr>
                <w:ilvl w:val="0"/>
                <w:numId w:val="3"/>
              </w:numPr>
              <w:spacing w:after="0" w:line="240" w:lineRule="auto"/>
              <w:ind w:left="1080" w:firstLine="0"/>
              <w:jc w:val="both"/>
              <w:textAlignment w:val="baseline"/>
              <w:rPr>
                <w:rFonts w:ascii="Arial" w:eastAsia="Times New Roman" w:hAnsi="Arial" w:cs="Arial"/>
                <w:sz w:val="18"/>
                <w:szCs w:val="18"/>
                <w:lang w:eastAsia="en-GB"/>
              </w:rPr>
            </w:pPr>
            <w:r w:rsidRPr="00121714">
              <w:rPr>
                <w:rFonts w:ascii="Arial" w:eastAsia="Times New Roman" w:hAnsi="Arial" w:cs="Arial"/>
                <w:sz w:val="18"/>
                <w:szCs w:val="18"/>
                <w:lang w:eastAsia="en-GB"/>
              </w:rPr>
              <w:t>support local discretion for setting the ‘infrastructure in-kind’ threshold (</w:t>
            </w:r>
            <w:proofErr w:type="gramStart"/>
            <w:r w:rsidRPr="00121714">
              <w:rPr>
                <w:rFonts w:ascii="Arial" w:eastAsia="Times New Roman" w:hAnsi="Arial" w:cs="Arial"/>
                <w:sz w:val="18"/>
                <w:szCs w:val="18"/>
                <w:lang w:eastAsia="en-GB"/>
              </w:rPr>
              <w:t>i.e.</w:t>
            </w:r>
            <w:proofErr w:type="gramEnd"/>
            <w:r w:rsidRPr="00121714">
              <w:rPr>
                <w:rFonts w:ascii="Arial" w:eastAsia="Times New Roman" w:hAnsi="Arial" w:cs="Arial"/>
                <w:sz w:val="18"/>
                <w:szCs w:val="18"/>
                <w:lang w:eastAsia="en-GB"/>
              </w:rPr>
              <w:t xml:space="preserve"> development where s106 planning obligations will be  </w:t>
            </w:r>
          </w:p>
          <w:p w14:paraId="38B6C327" w14:textId="77777777" w:rsidR="002B18A6" w:rsidRPr="00121714" w:rsidRDefault="002B18A6" w:rsidP="002B18A6">
            <w:pPr>
              <w:numPr>
                <w:ilvl w:val="0"/>
                <w:numId w:val="3"/>
              </w:numPr>
              <w:spacing w:after="0" w:line="240" w:lineRule="auto"/>
              <w:ind w:left="1080" w:firstLine="0"/>
              <w:jc w:val="both"/>
              <w:textAlignment w:val="baseline"/>
              <w:rPr>
                <w:rFonts w:ascii="Arial" w:eastAsia="Times New Roman" w:hAnsi="Arial" w:cs="Arial"/>
                <w:sz w:val="18"/>
                <w:szCs w:val="18"/>
                <w:lang w:eastAsia="en-GB"/>
              </w:rPr>
            </w:pPr>
            <w:r w:rsidRPr="00121714">
              <w:rPr>
                <w:rFonts w:ascii="Arial" w:eastAsia="Times New Roman" w:hAnsi="Arial" w:cs="Arial"/>
                <w:sz w:val="18"/>
                <w:szCs w:val="18"/>
                <w:lang w:eastAsia="en-GB"/>
              </w:rPr>
              <w:t xml:space="preserve">used instead of the Levy – </w:t>
            </w:r>
            <w:proofErr w:type="gramStart"/>
            <w:r w:rsidRPr="00121714">
              <w:rPr>
                <w:rFonts w:ascii="Arial" w:eastAsia="Times New Roman" w:hAnsi="Arial" w:cs="Arial"/>
                <w:sz w:val="18"/>
                <w:szCs w:val="18"/>
                <w:lang w:eastAsia="en-GB"/>
              </w:rPr>
              <w:t>i.e.</w:t>
            </w:r>
            <w:proofErr w:type="gramEnd"/>
            <w:r w:rsidRPr="00121714">
              <w:rPr>
                <w:rFonts w:ascii="Arial" w:eastAsia="Times New Roman" w:hAnsi="Arial" w:cs="Arial"/>
                <w:sz w:val="18"/>
                <w:szCs w:val="18"/>
                <w:lang w:eastAsia="en-GB"/>
              </w:rPr>
              <w:t xml:space="preserve"> for strategic sites where integral infrastructure such as schools </w:t>
            </w:r>
            <w:r w:rsidRPr="00121714">
              <w:rPr>
                <w:rFonts w:ascii="Arial" w:eastAsia="Times New Roman" w:hAnsi="Arial" w:cs="Arial"/>
                <w:color w:val="000000"/>
                <w:sz w:val="18"/>
                <w:szCs w:val="18"/>
                <w:lang w:eastAsia="en-GB"/>
              </w:rPr>
              <w:t>etc are required).  </w:t>
            </w:r>
          </w:p>
          <w:p w14:paraId="56699418" w14:textId="77777777" w:rsidR="002B18A6" w:rsidRPr="00121714" w:rsidRDefault="002B18A6" w:rsidP="002B18A6">
            <w:pPr>
              <w:numPr>
                <w:ilvl w:val="0"/>
                <w:numId w:val="3"/>
              </w:numPr>
              <w:spacing w:after="0" w:line="240" w:lineRule="auto"/>
              <w:ind w:left="1080" w:firstLine="0"/>
              <w:jc w:val="both"/>
              <w:textAlignment w:val="baseline"/>
              <w:rPr>
                <w:rFonts w:ascii="Arial" w:eastAsia="Times New Roman" w:hAnsi="Arial" w:cs="Arial"/>
                <w:sz w:val="18"/>
                <w:szCs w:val="18"/>
                <w:lang w:eastAsia="en-GB"/>
              </w:rPr>
            </w:pPr>
            <w:r w:rsidRPr="00121714">
              <w:rPr>
                <w:rFonts w:ascii="Arial" w:eastAsia="Times New Roman" w:hAnsi="Arial" w:cs="Arial"/>
                <w:color w:val="000000"/>
                <w:sz w:val="18"/>
                <w:szCs w:val="18"/>
                <w:lang w:eastAsia="en-GB"/>
              </w:rPr>
              <w:t xml:space="preserve">advised that the role of Delivery </w:t>
            </w:r>
            <w:r w:rsidRPr="00121714">
              <w:rPr>
                <w:rFonts w:ascii="Arial" w:eastAsia="Times New Roman" w:hAnsi="Arial" w:cs="Arial"/>
                <w:sz w:val="18"/>
                <w:szCs w:val="18"/>
                <w:lang w:eastAsia="en-GB"/>
              </w:rPr>
              <w:t>Agreements to continue to secure matters such as phosphate mitigation, local labour agreements etc is essential.  </w:t>
            </w:r>
          </w:p>
          <w:p w14:paraId="2B635042" w14:textId="77777777" w:rsidR="002B18A6" w:rsidRPr="00121714" w:rsidRDefault="002B18A6" w:rsidP="00F341E0">
            <w:pPr>
              <w:spacing w:after="0" w:line="240" w:lineRule="auto"/>
              <w:ind w:left="720"/>
              <w:jc w:val="both"/>
              <w:textAlignment w:val="baseline"/>
              <w:rPr>
                <w:rFonts w:ascii="Times New Roman" w:eastAsia="Times New Roman" w:hAnsi="Times New Roman" w:cs="Times New Roman"/>
                <w:sz w:val="24"/>
                <w:szCs w:val="24"/>
                <w:lang w:eastAsia="en-GB"/>
              </w:rPr>
            </w:pPr>
            <w:r w:rsidRPr="00121714">
              <w:rPr>
                <w:rFonts w:ascii="Arial" w:eastAsia="Times New Roman" w:hAnsi="Arial" w:cs="Arial"/>
                <w:sz w:val="18"/>
                <w:szCs w:val="18"/>
                <w:lang w:eastAsia="en-GB"/>
              </w:rPr>
              <w:t> </w:t>
            </w:r>
          </w:p>
        </w:tc>
      </w:tr>
      <w:tr w:rsidR="002B18A6" w:rsidRPr="00121714" w14:paraId="48D979F1" w14:textId="77777777" w:rsidTr="00F341E0">
        <w:trPr>
          <w:trHeight w:val="300"/>
        </w:trPr>
        <w:tc>
          <w:tcPr>
            <w:tcW w:w="9042" w:type="dxa"/>
            <w:gridSpan w:val="2"/>
            <w:tcBorders>
              <w:top w:val="single" w:sz="6" w:space="0" w:color="auto"/>
              <w:left w:val="single" w:sz="6" w:space="0" w:color="auto"/>
              <w:bottom w:val="single" w:sz="6" w:space="0" w:color="auto"/>
              <w:right w:val="single" w:sz="6" w:space="0" w:color="auto"/>
            </w:tcBorders>
            <w:shd w:val="clear" w:color="auto" w:fill="auto"/>
            <w:hideMark/>
          </w:tcPr>
          <w:p w14:paraId="660AD6A6" w14:textId="77777777" w:rsidR="002B18A6" w:rsidRPr="00121714" w:rsidRDefault="002B18A6" w:rsidP="00F341E0">
            <w:pPr>
              <w:spacing w:after="0" w:line="240" w:lineRule="auto"/>
              <w:jc w:val="both"/>
              <w:textAlignment w:val="baseline"/>
              <w:rPr>
                <w:rFonts w:ascii="Times New Roman" w:eastAsia="Times New Roman" w:hAnsi="Times New Roman" w:cs="Times New Roman"/>
                <w:sz w:val="24"/>
                <w:szCs w:val="24"/>
                <w:lang w:eastAsia="en-GB"/>
              </w:rPr>
            </w:pPr>
            <w:r w:rsidRPr="00121714">
              <w:rPr>
                <w:rFonts w:ascii="Arial" w:eastAsia="Times New Roman" w:hAnsi="Arial" w:cs="Arial"/>
                <w:b/>
                <w:bCs/>
                <w:sz w:val="20"/>
                <w:szCs w:val="20"/>
                <w:lang w:eastAsia="en-GB"/>
              </w:rPr>
              <w:t>Levy rates and minimum thresholds</w:t>
            </w:r>
            <w:r w:rsidRPr="00121714">
              <w:rPr>
                <w:rFonts w:ascii="Arial" w:eastAsia="Times New Roman" w:hAnsi="Arial" w:cs="Arial"/>
                <w:sz w:val="20"/>
                <w:szCs w:val="20"/>
                <w:lang w:eastAsia="en-GB"/>
              </w:rPr>
              <w:t> </w:t>
            </w:r>
          </w:p>
        </w:tc>
      </w:tr>
      <w:tr w:rsidR="002B18A6" w:rsidRPr="00121714" w14:paraId="20ABE908" w14:textId="77777777" w:rsidTr="00F341E0">
        <w:trPr>
          <w:trHeight w:val="300"/>
        </w:trPr>
        <w:tc>
          <w:tcPr>
            <w:tcW w:w="2702" w:type="dxa"/>
            <w:tcBorders>
              <w:top w:val="single" w:sz="6" w:space="0" w:color="auto"/>
              <w:left w:val="single" w:sz="6" w:space="0" w:color="auto"/>
              <w:bottom w:val="single" w:sz="6" w:space="0" w:color="auto"/>
              <w:right w:val="single" w:sz="6" w:space="0" w:color="auto"/>
            </w:tcBorders>
            <w:shd w:val="clear" w:color="auto" w:fill="auto"/>
            <w:hideMark/>
          </w:tcPr>
          <w:p w14:paraId="5A27F202" w14:textId="77777777" w:rsidR="002B18A6" w:rsidRPr="00121714" w:rsidRDefault="002B18A6" w:rsidP="002B18A6">
            <w:pPr>
              <w:numPr>
                <w:ilvl w:val="0"/>
                <w:numId w:val="4"/>
              </w:numPr>
              <w:spacing w:after="0" w:line="240" w:lineRule="auto"/>
              <w:ind w:left="1080" w:firstLine="0"/>
              <w:jc w:val="both"/>
              <w:textAlignment w:val="baseline"/>
              <w:rPr>
                <w:rFonts w:ascii="Arial" w:eastAsia="Times New Roman" w:hAnsi="Arial" w:cs="Arial"/>
                <w:sz w:val="20"/>
                <w:szCs w:val="20"/>
                <w:lang w:eastAsia="en-GB"/>
              </w:rPr>
            </w:pPr>
            <w:r w:rsidRPr="00121714">
              <w:rPr>
                <w:rFonts w:ascii="Arial" w:eastAsia="Times New Roman" w:hAnsi="Arial" w:cs="Arial"/>
                <w:sz w:val="20"/>
                <w:szCs w:val="20"/>
                <w:lang w:eastAsia="en-GB"/>
              </w:rPr>
              <w:t>Rate setting  </w:t>
            </w:r>
          </w:p>
          <w:p w14:paraId="497C204D" w14:textId="77777777" w:rsidR="002B18A6" w:rsidRPr="00121714" w:rsidRDefault="002B18A6" w:rsidP="00F341E0">
            <w:pPr>
              <w:spacing w:after="0" w:line="240" w:lineRule="auto"/>
              <w:jc w:val="both"/>
              <w:textAlignment w:val="baseline"/>
              <w:rPr>
                <w:rFonts w:ascii="Times New Roman" w:eastAsia="Times New Roman" w:hAnsi="Times New Roman" w:cs="Times New Roman"/>
                <w:sz w:val="24"/>
                <w:szCs w:val="24"/>
                <w:lang w:eastAsia="en-GB"/>
              </w:rPr>
            </w:pPr>
            <w:r w:rsidRPr="00121714">
              <w:rPr>
                <w:rFonts w:ascii="Arial" w:eastAsia="Times New Roman" w:hAnsi="Arial" w:cs="Arial"/>
                <w:sz w:val="20"/>
                <w:szCs w:val="20"/>
                <w:lang w:eastAsia="en-GB"/>
              </w:rPr>
              <w:t> </w:t>
            </w:r>
          </w:p>
        </w:tc>
        <w:tc>
          <w:tcPr>
            <w:tcW w:w="6340" w:type="dxa"/>
            <w:tcBorders>
              <w:top w:val="single" w:sz="6" w:space="0" w:color="auto"/>
              <w:left w:val="single" w:sz="6" w:space="0" w:color="auto"/>
              <w:bottom w:val="single" w:sz="6" w:space="0" w:color="auto"/>
              <w:right w:val="single" w:sz="6" w:space="0" w:color="auto"/>
            </w:tcBorders>
            <w:shd w:val="clear" w:color="auto" w:fill="auto"/>
            <w:hideMark/>
          </w:tcPr>
          <w:p w14:paraId="39F00131" w14:textId="77777777" w:rsidR="002B18A6" w:rsidRPr="00121714" w:rsidRDefault="002B18A6" w:rsidP="002B18A6">
            <w:pPr>
              <w:numPr>
                <w:ilvl w:val="0"/>
                <w:numId w:val="5"/>
              </w:numPr>
              <w:spacing w:after="0" w:line="240" w:lineRule="auto"/>
              <w:ind w:left="1080" w:firstLine="0"/>
              <w:jc w:val="both"/>
              <w:textAlignment w:val="baseline"/>
              <w:rPr>
                <w:rFonts w:ascii="Arial" w:eastAsia="Times New Roman" w:hAnsi="Arial" w:cs="Arial"/>
                <w:sz w:val="20"/>
                <w:szCs w:val="20"/>
                <w:lang w:eastAsia="en-GB"/>
              </w:rPr>
            </w:pPr>
            <w:r w:rsidRPr="00121714">
              <w:rPr>
                <w:rFonts w:ascii="Arial" w:eastAsia="Times New Roman" w:hAnsi="Arial" w:cs="Arial"/>
                <w:sz w:val="18"/>
                <w:szCs w:val="18"/>
                <w:lang w:eastAsia="en-GB"/>
              </w:rPr>
              <w:t>agree that the Levy should capture value uplift associated with new dwellings established under permitted development rights. </w:t>
            </w:r>
          </w:p>
          <w:p w14:paraId="476A78C3" w14:textId="77777777" w:rsidR="002B18A6" w:rsidRPr="00121714" w:rsidRDefault="002B18A6" w:rsidP="002B18A6">
            <w:pPr>
              <w:numPr>
                <w:ilvl w:val="0"/>
                <w:numId w:val="5"/>
              </w:numPr>
              <w:spacing w:after="0" w:line="240" w:lineRule="auto"/>
              <w:ind w:left="1080" w:firstLine="0"/>
              <w:jc w:val="both"/>
              <w:textAlignment w:val="baseline"/>
              <w:rPr>
                <w:rFonts w:ascii="Arial" w:eastAsia="Times New Roman" w:hAnsi="Arial" w:cs="Arial"/>
                <w:sz w:val="18"/>
                <w:szCs w:val="18"/>
                <w:lang w:eastAsia="en-GB"/>
              </w:rPr>
            </w:pPr>
            <w:r w:rsidRPr="00121714">
              <w:rPr>
                <w:rFonts w:ascii="Arial" w:eastAsia="Times New Roman" w:hAnsi="Arial" w:cs="Arial"/>
                <w:color w:val="000000"/>
                <w:sz w:val="18"/>
                <w:szCs w:val="18"/>
                <w:lang w:eastAsia="en-GB"/>
              </w:rPr>
              <w:t>support offsetting of the Levy for certain brownfield development with marginal viability.  </w:t>
            </w:r>
          </w:p>
          <w:p w14:paraId="5AA7A103" w14:textId="77777777" w:rsidR="002B18A6" w:rsidRPr="00121714" w:rsidRDefault="002B18A6" w:rsidP="002B18A6">
            <w:pPr>
              <w:numPr>
                <w:ilvl w:val="0"/>
                <w:numId w:val="5"/>
              </w:numPr>
              <w:spacing w:after="0" w:line="240" w:lineRule="auto"/>
              <w:ind w:left="1080" w:firstLine="0"/>
              <w:jc w:val="both"/>
              <w:textAlignment w:val="baseline"/>
              <w:rPr>
                <w:rFonts w:ascii="Arial" w:eastAsia="Times New Roman" w:hAnsi="Arial" w:cs="Arial"/>
                <w:sz w:val="18"/>
                <w:szCs w:val="18"/>
                <w:lang w:eastAsia="en-GB"/>
              </w:rPr>
            </w:pPr>
            <w:r w:rsidRPr="00121714">
              <w:rPr>
                <w:rFonts w:ascii="Arial" w:eastAsia="Times New Roman" w:hAnsi="Arial" w:cs="Arial"/>
                <w:sz w:val="18"/>
                <w:szCs w:val="18"/>
                <w:lang w:eastAsia="en-GB"/>
              </w:rPr>
              <w:t>raise concerns that the increase in revenue generated by charging the Levy on GDV will be lost in resources to administer.  </w:t>
            </w:r>
          </w:p>
          <w:p w14:paraId="6BD8D790" w14:textId="77777777" w:rsidR="002B18A6" w:rsidRPr="00121714" w:rsidRDefault="002B18A6" w:rsidP="002B18A6">
            <w:pPr>
              <w:numPr>
                <w:ilvl w:val="0"/>
                <w:numId w:val="5"/>
              </w:numPr>
              <w:spacing w:after="0" w:line="240" w:lineRule="auto"/>
              <w:ind w:left="1080" w:firstLine="0"/>
              <w:jc w:val="both"/>
              <w:textAlignment w:val="baseline"/>
              <w:rPr>
                <w:rFonts w:ascii="Arial" w:eastAsia="Times New Roman" w:hAnsi="Arial" w:cs="Arial"/>
                <w:sz w:val="18"/>
                <w:szCs w:val="18"/>
                <w:lang w:eastAsia="en-GB"/>
              </w:rPr>
            </w:pPr>
            <w:r w:rsidRPr="00121714">
              <w:rPr>
                <w:rFonts w:ascii="Arial" w:eastAsia="Times New Roman" w:hAnsi="Arial" w:cs="Arial"/>
                <w:sz w:val="18"/>
                <w:szCs w:val="18"/>
                <w:lang w:eastAsia="en-GB"/>
              </w:rPr>
              <w:t>support the ability to set different rates and thresholds across geographical areas. </w:t>
            </w:r>
          </w:p>
          <w:p w14:paraId="78D2A998" w14:textId="77777777" w:rsidR="002B18A6" w:rsidRPr="00121714" w:rsidRDefault="002B18A6" w:rsidP="002B18A6">
            <w:pPr>
              <w:numPr>
                <w:ilvl w:val="0"/>
                <w:numId w:val="5"/>
              </w:numPr>
              <w:spacing w:after="0" w:line="240" w:lineRule="auto"/>
              <w:ind w:left="1080" w:firstLine="0"/>
              <w:jc w:val="both"/>
              <w:textAlignment w:val="baseline"/>
              <w:rPr>
                <w:rFonts w:ascii="Arial" w:eastAsia="Times New Roman" w:hAnsi="Arial" w:cs="Arial"/>
                <w:sz w:val="18"/>
                <w:szCs w:val="18"/>
                <w:lang w:eastAsia="en-GB"/>
              </w:rPr>
            </w:pPr>
            <w:r w:rsidRPr="00121714">
              <w:rPr>
                <w:rFonts w:ascii="Arial" w:eastAsia="Times New Roman" w:hAnsi="Arial" w:cs="Arial"/>
                <w:sz w:val="18"/>
                <w:szCs w:val="18"/>
                <w:lang w:eastAsia="en-GB"/>
              </w:rPr>
              <w:t>support the ability to ‘step’ the levy up/down in the future depending on impact of the Levy. </w:t>
            </w:r>
          </w:p>
          <w:p w14:paraId="44C116D7" w14:textId="77777777" w:rsidR="002B18A6" w:rsidRPr="00121714" w:rsidRDefault="002B18A6" w:rsidP="002B18A6">
            <w:pPr>
              <w:numPr>
                <w:ilvl w:val="0"/>
                <w:numId w:val="5"/>
              </w:numPr>
              <w:spacing w:after="0" w:line="240" w:lineRule="auto"/>
              <w:ind w:left="1080" w:firstLine="0"/>
              <w:jc w:val="both"/>
              <w:textAlignment w:val="baseline"/>
              <w:rPr>
                <w:rFonts w:ascii="Arial" w:eastAsia="Times New Roman" w:hAnsi="Arial" w:cs="Arial"/>
                <w:sz w:val="18"/>
                <w:szCs w:val="18"/>
                <w:lang w:eastAsia="en-GB"/>
              </w:rPr>
            </w:pPr>
            <w:r w:rsidRPr="00121714">
              <w:rPr>
                <w:rFonts w:ascii="Arial" w:eastAsia="Times New Roman" w:hAnsi="Arial" w:cs="Arial"/>
                <w:sz w:val="18"/>
                <w:szCs w:val="18"/>
                <w:lang w:eastAsia="en-GB"/>
              </w:rPr>
              <w:t>support separate Levy rates relating to existing floorspace (</w:t>
            </w:r>
            <w:proofErr w:type="gramStart"/>
            <w:r w:rsidRPr="00121714">
              <w:rPr>
                <w:rFonts w:ascii="Arial" w:eastAsia="Times New Roman" w:hAnsi="Arial" w:cs="Arial"/>
                <w:sz w:val="18"/>
                <w:szCs w:val="18"/>
                <w:lang w:eastAsia="en-GB"/>
              </w:rPr>
              <w:t>i.e.</w:t>
            </w:r>
            <w:proofErr w:type="gramEnd"/>
            <w:r w:rsidRPr="00121714">
              <w:rPr>
                <w:rFonts w:ascii="Arial" w:eastAsia="Times New Roman" w:hAnsi="Arial" w:cs="Arial"/>
                <w:sz w:val="18"/>
                <w:szCs w:val="18"/>
                <w:lang w:eastAsia="en-GB"/>
              </w:rPr>
              <w:t xml:space="preserve"> subject to change of use).  </w:t>
            </w:r>
          </w:p>
          <w:p w14:paraId="3E96223A" w14:textId="77777777" w:rsidR="002B18A6" w:rsidRPr="00121714" w:rsidRDefault="002B18A6" w:rsidP="002B18A6">
            <w:pPr>
              <w:numPr>
                <w:ilvl w:val="0"/>
                <w:numId w:val="5"/>
              </w:numPr>
              <w:spacing w:after="0" w:line="240" w:lineRule="auto"/>
              <w:ind w:left="1080" w:firstLine="0"/>
              <w:jc w:val="both"/>
              <w:textAlignment w:val="baseline"/>
              <w:rPr>
                <w:rFonts w:ascii="Arial" w:eastAsia="Times New Roman" w:hAnsi="Arial" w:cs="Arial"/>
                <w:sz w:val="18"/>
                <w:szCs w:val="18"/>
                <w:lang w:eastAsia="en-GB"/>
              </w:rPr>
            </w:pPr>
            <w:r w:rsidRPr="00121714">
              <w:rPr>
                <w:rFonts w:ascii="Arial" w:eastAsia="Times New Roman" w:hAnsi="Arial" w:cs="Arial"/>
                <w:sz w:val="18"/>
                <w:szCs w:val="18"/>
                <w:lang w:eastAsia="en-GB"/>
              </w:rPr>
              <w:t>question how rate setting (</w:t>
            </w:r>
            <w:proofErr w:type="gramStart"/>
            <w:r w:rsidRPr="00121714">
              <w:rPr>
                <w:rFonts w:ascii="Arial" w:eastAsia="Times New Roman" w:hAnsi="Arial" w:cs="Arial"/>
                <w:sz w:val="18"/>
                <w:szCs w:val="18"/>
                <w:lang w:eastAsia="en-GB"/>
              </w:rPr>
              <w:t>i.e.</w:t>
            </w:r>
            <w:proofErr w:type="gramEnd"/>
            <w:r w:rsidRPr="00121714">
              <w:rPr>
                <w:rFonts w:ascii="Arial" w:eastAsia="Times New Roman" w:hAnsi="Arial" w:cs="Arial"/>
                <w:sz w:val="18"/>
                <w:szCs w:val="18"/>
                <w:lang w:eastAsia="en-GB"/>
              </w:rPr>
              <w:t xml:space="preserve"> preparation of evidence base etc) will be funded. </w:t>
            </w:r>
          </w:p>
        </w:tc>
      </w:tr>
      <w:tr w:rsidR="002B18A6" w:rsidRPr="00121714" w14:paraId="6CC30CCD" w14:textId="77777777" w:rsidTr="00F341E0">
        <w:trPr>
          <w:trHeight w:val="300"/>
        </w:trPr>
        <w:tc>
          <w:tcPr>
            <w:tcW w:w="9042" w:type="dxa"/>
            <w:gridSpan w:val="2"/>
            <w:tcBorders>
              <w:top w:val="single" w:sz="6" w:space="0" w:color="auto"/>
              <w:left w:val="single" w:sz="6" w:space="0" w:color="auto"/>
              <w:bottom w:val="single" w:sz="6" w:space="0" w:color="auto"/>
              <w:right w:val="single" w:sz="6" w:space="0" w:color="auto"/>
            </w:tcBorders>
            <w:shd w:val="clear" w:color="auto" w:fill="auto"/>
            <w:hideMark/>
          </w:tcPr>
          <w:p w14:paraId="7E17A933" w14:textId="77777777" w:rsidR="002B18A6" w:rsidRPr="00121714" w:rsidRDefault="002B18A6" w:rsidP="00F341E0">
            <w:pPr>
              <w:spacing w:after="0" w:line="240" w:lineRule="auto"/>
              <w:jc w:val="both"/>
              <w:textAlignment w:val="baseline"/>
              <w:rPr>
                <w:rFonts w:ascii="Times New Roman" w:eastAsia="Times New Roman" w:hAnsi="Times New Roman" w:cs="Times New Roman"/>
                <w:sz w:val="24"/>
                <w:szCs w:val="24"/>
                <w:lang w:eastAsia="en-GB"/>
              </w:rPr>
            </w:pPr>
            <w:r w:rsidRPr="00121714">
              <w:rPr>
                <w:rFonts w:ascii="Arial" w:eastAsia="Times New Roman" w:hAnsi="Arial" w:cs="Arial"/>
                <w:b/>
                <w:bCs/>
                <w:sz w:val="20"/>
                <w:szCs w:val="20"/>
                <w:lang w:eastAsia="en-GB"/>
              </w:rPr>
              <w:t>Charging and paying the Levy </w:t>
            </w:r>
            <w:r w:rsidRPr="00121714">
              <w:rPr>
                <w:rFonts w:ascii="Arial" w:eastAsia="Times New Roman" w:hAnsi="Arial" w:cs="Arial"/>
                <w:sz w:val="20"/>
                <w:szCs w:val="20"/>
                <w:lang w:eastAsia="en-GB"/>
              </w:rPr>
              <w:t> </w:t>
            </w:r>
          </w:p>
        </w:tc>
      </w:tr>
      <w:tr w:rsidR="002B18A6" w:rsidRPr="00121714" w14:paraId="4DE518C4" w14:textId="77777777" w:rsidTr="00F341E0">
        <w:trPr>
          <w:trHeight w:val="300"/>
        </w:trPr>
        <w:tc>
          <w:tcPr>
            <w:tcW w:w="2702" w:type="dxa"/>
            <w:tcBorders>
              <w:top w:val="single" w:sz="6" w:space="0" w:color="auto"/>
              <w:left w:val="single" w:sz="6" w:space="0" w:color="auto"/>
              <w:bottom w:val="single" w:sz="6" w:space="0" w:color="auto"/>
              <w:right w:val="single" w:sz="6" w:space="0" w:color="auto"/>
            </w:tcBorders>
            <w:shd w:val="clear" w:color="auto" w:fill="auto"/>
            <w:hideMark/>
          </w:tcPr>
          <w:p w14:paraId="11CEF74E" w14:textId="77777777" w:rsidR="002B18A6" w:rsidRPr="00BE548C" w:rsidRDefault="002B18A6" w:rsidP="00F341E0">
            <w:pPr>
              <w:pStyle w:val="ListParagraph"/>
              <w:numPr>
                <w:ilvl w:val="0"/>
                <w:numId w:val="17"/>
              </w:numPr>
              <w:spacing w:after="0" w:line="240" w:lineRule="auto"/>
              <w:jc w:val="both"/>
              <w:textAlignment w:val="baseline"/>
              <w:rPr>
                <w:rFonts w:ascii="Arial" w:eastAsia="Times New Roman" w:hAnsi="Arial" w:cs="Arial"/>
                <w:kern w:val="0"/>
                <w:sz w:val="20"/>
                <w:szCs w:val="20"/>
                <w:lang w:eastAsia="en-GB"/>
                <w14:ligatures w14:val="none"/>
              </w:rPr>
            </w:pPr>
            <w:r w:rsidRPr="00BE548C">
              <w:rPr>
                <w:rFonts w:ascii="Arial" w:eastAsia="Times New Roman" w:hAnsi="Arial" w:cs="Arial"/>
                <w:kern w:val="0"/>
                <w:sz w:val="20"/>
                <w:szCs w:val="20"/>
                <w:lang w:eastAsia="en-GB"/>
                <w14:ligatures w14:val="none"/>
              </w:rPr>
              <w:t>Charging the Levy  </w:t>
            </w:r>
          </w:p>
          <w:p w14:paraId="4BF2354A" w14:textId="77777777" w:rsidR="002B18A6" w:rsidRPr="00BE548C" w:rsidRDefault="002B18A6" w:rsidP="00F341E0">
            <w:pPr>
              <w:pStyle w:val="ListParagraph"/>
              <w:numPr>
                <w:ilvl w:val="0"/>
                <w:numId w:val="17"/>
              </w:numPr>
              <w:spacing w:after="0" w:line="240" w:lineRule="auto"/>
              <w:jc w:val="both"/>
              <w:textAlignment w:val="baseline"/>
              <w:rPr>
                <w:rFonts w:ascii="Arial" w:eastAsia="Times New Roman" w:hAnsi="Arial" w:cs="Arial"/>
                <w:kern w:val="0"/>
                <w:sz w:val="20"/>
                <w:szCs w:val="20"/>
                <w:lang w:eastAsia="en-GB"/>
                <w14:ligatures w14:val="none"/>
              </w:rPr>
            </w:pPr>
            <w:r w:rsidRPr="00BE548C">
              <w:rPr>
                <w:rFonts w:ascii="Arial" w:eastAsia="Times New Roman" w:hAnsi="Arial" w:cs="Arial"/>
                <w:kern w:val="0"/>
                <w:sz w:val="20"/>
                <w:szCs w:val="20"/>
                <w:lang w:eastAsia="en-GB"/>
                <w14:ligatures w14:val="none"/>
              </w:rPr>
              <w:t>Payment of the Levy  </w:t>
            </w:r>
          </w:p>
          <w:p w14:paraId="25F33C70" w14:textId="77777777" w:rsidR="002B18A6" w:rsidRPr="00121714" w:rsidRDefault="002B18A6" w:rsidP="00F341E0">
            <w:pPr>
              <w:spacing w:after="0" w:line="240" w:lineRule="auto"/>
              <w:ind w:left="1080" w:hanging="866"/>
              <w:jc w:val="both"/>
              <w:textAlignment w:val="baseline"/>
              <w:rPr>
                <w:rFonts w:ascii="Times New Roman" w:eastAsia="Times New Roman" w:hAnsi="Times New Roman" w:cs="Times New Roman"/>
                <w:sz w:val="24"/>
                <w:szCs w:val="24"/>
                <w:lang w:eastAsia="en-GB"/>
              </w:rPr>
            </w:pPr>
          </w:p>
        </w:tc>
        <w:tc>
          <w:tcPr>
            <w:tcW w:w="6340" w:type="dxa"/>
            <w:tcBorders>
              <w:top w:val="single" w:sz="6" w:space="0" w:color="auto"/>
              <w:left w:val="single" w:sz="6" w:space="0" w:color="auto"/>
              <w:bottom w:val="single" w:sz="6" w:space="0" w:color="auto"/>
              <w:right w:val="single" w:sz="6" w:space="0" w:color="auto"/>
            </w:tcBorders>
            <w:shd w:val="clear" w:color="auto" w:fill="auto"/>
            <w:hideMark/>
          </w:tcPr>
          <w:p w14:paraId="7F626562" w14:textId="77777777" w:rsidR="002B18A6" w:rsidRPr="00121714" w:rsidRDefault="002B18A6" w:rsidP="00F341E0">
            <w:pPr>
              <w:numPr>
                <w:ilvl w:val="0"/>
                <w:numId w:val="6"/>
              </w:numPr>
              <w:spacing w:after="0" w:line="240" w:lineRule="auto"/>
              <w:ind w:left="1080" w:firstLine="0"/>
              <w:jc w:val="both"/>
              <w:textAlignment w:val="baseline"/>
              <w:rPr>
                <w:rFonts w:ascii="Arial" w:eastAsia="Times New Roman" w:hAnsi="Arial" w:cs="Arial"/>
                <w:sz w:val="18"/>
                <w:szCs w:val="18"/>
                <w:lang w:eastAsia="en-GB"/>
              </w:rPr>
            </w:pPr>
            <w:r w:rsidRPr="00121714">
              <w:rPr>
                <w:rFonts w:ascii="Arial" w:eastAsia="Times New Roman" w:hAnsi="Arial" w:cs="Arial"/>
                <w:sz w:val="18"/>
                <w:szCs w:val="18"/>
                <w:lang w:eastAsia="en-GB"/>
              </w:rPr>
              <w:t>remain broadly in support of the GDV / Final Adjustment Payment process, however, acknowledges the uncertainties that remain inherent in the process and the difficulties this will place on estimated funds available for infrastructure programme delivery. </w:t>
            </w:r>
          </w:p>
          <w:p w14:paraId="7CD8527D" w14:textId="77777777" w:rsidR="002B18A6" w:rsidRPr="00121714" w:rsidRDefault="002B18A6" w:rsidP="00F341E0">
            <w:pPr>
              <w:numPr>
                <w:ilvl w:val="0"/>
                <w:numId w:val="6"/>
              </w:numPr>
              <w:spacing w:after="0" w:line="240" w:lineRule="auto"/>
              <w:ind w:left="1080" w:firstLine="0"/>
              <w:jc w:val="both"/>
              <w:textAlignment w:val="baseline"/>
              <w:rPr>
                <w:rFonts w:ascii="Arial" w:eastAsia="Times New Roman" w:hAnsi="Arial" w:cs="Arial"/>
                <w:sz w:val="18"/>
                <w:szCs w:val="18"/>
                <w:lang w:eastAsia="en-GB"/>
              </w:rPr>
            </w:pPr>
            <w:r w:rsidRPr="00121714">
              <w:rPr>
                <w:rFonts w:ascii="Arial" w:eastAsia="Times New Roman" w:hAnsi="Arial" w:cs="Arial"/>
                <w:color w:val="000000"/>
                <w:sz w:val="18"/>
                <w:szCs w:val="18"/>
                <w:lang w:eastAsia="en-GB"/>
              </w:rPr>
              <w:t>raise concern that the site completion trigger for provisional liability payment could result in incomplete sites. </w:t>
            </w:r>
          </w:p>
          <w:p w14:paraId="11E18936" w14:textId="77777777" w:rsidR="002B18A6" w:rsidRPr="00121714" w:rsidRDefault="002B18A6" w:rsidP="00F341E0">
            <w:pPr>
              <w:numPr>
                <w:ilvl w:val="0"/>
                <w:numId w:val="6"/>
              </w:numPr>
              <w:spacing w:after="0" w:line="240" w:lineRule="auto"/>
              <w:ind w:left="1080" w:firstLine="0"/>
              <w:jc w:val="both"/>
              <w:textAlignment w:val="baseline"/>
              <w:rPr>
                <w:rFonts w:ascii="Arial" w:eastAsia="Times New Roman" w:hAnsi="Arial" w:cs="Arial"/>
                <w:sz w:val="18"/>
                <w:szCs w:val="18"/>
                <w:lang w:eastAsia="en-GB"/>
              </w:rPr>
            </w:pPr>
            <w:r w:rsidRPr="00121714">
              <w:rPr>
                <w:rFonts w:ascii="Arial" w:eastAsia="Times New Roman" w:hAnsi="Arial" w:cs="Arial"/>
                <w:sz w:val="18"/>
                <w:szCs w:val="18"/>
                <w:lang w:eastAsia="en-GB"/>
              </w:rPr>
              <w:lastRenderedPageBreak/>
              <w:t xml:space="preserve">raise concern Final Adjustment Payments may be avoided by developers and that the regulations need to provide a robust mechanism to allow </w:t>
            </w:r>
            <w:r w:rsidRPr="00121714">
              <w:rPr>
                <w:rFonts w:ascii="Arial" w:eastAsia="Times New Roman" w:hAnsi="Arial" w:cs="Arial"/>
                <w:color w:val="000000"/>
                <w:sz w:val="18"/>
                <w:szCs w:val="18"/>
                <w:lang w:eastAsia="en-GB"/>
              </w:rPr>
              <w:t>Councils to recover unpaid Levy contributions.  </w:t>
            </w:r>
          </w:p>
          <w:p w14:paraId="1459A394" w14:textId="77777777" w:rsidR="002B18A6" w:rsidRPr="00121714" w:rsidRDefault="002B18A6" w:rsidP="00F341E0">
            <w:pPr>
              <w:numPr>
                <w:ilvl w:val="0"/>
                <w:numId w:val="6"/>
              </w:numPr>
              <w:spacing w:after="0" w:line="240" w:lineRule="auto"/>
              <w:ind w:left="1080" w:firstLine="0"/>
              <w:jc w:val="both"/>
              <w:textAlignment w:val="baseline"/>
              <w:rPr>
                <w:rFonts w:ascii="Arial" w:eastAsia="Times New Roman" w:hAnsi="Arial" w:cs="Arial"/>
                <w:sz w:val="18"/>
                <w:szCs w:val="18"/>
                <w:lang w:eastAsia="en-GB"/>
              </w:rPr>
            </w:pPr>
            <w:r w:rsidRPr="00121714">
              <w:rPr>
                <w:rFonts w:ascii="Arial" w:eastAsia="Times New Roman" w:hAnsi="Arial" w:cs="Arial"/>
                <w:sz w:val="18"/>
                <w:szCs w:val="18"/>
                <w:lang w:eastAsia="en-GB"/>
              </w:rPr>
              <w:t>support early payment where applicant/developer has previously been enforced against in terms of financial contributions.  </w:t>
            </w:r>
          </w:p>
        </w:tc>
      </w:tr>
      <w:tr w:rsidR="002B18A6" w:rsidRPr="00121714" w14:paraId="71C940C9" w14:textId="77777777" w:rsidTr="00F341E0">
        <w:trPr>
          <w:trHeight w:val="300"/>
        </w:trPr>
        <w:tc>
          <w:tcPr>
            <w:tcW w:w="9042" w:type="dxa"/>
            <w:gridSpan w:val="2"/>
            <w:tcBorders>
              <w:top w:val="single" w:sz="6" w:space="0" w:color="auto"/>
              <w:left w:val="single" w:sz="6" w:space="0" w:color="auto"/>
              <w:bottom w:val="single" w:sz="6" w:space="0" w:color="auto"/>
              <w:right w:val="single" w:sz="6" w:space="0" w:color="auto"/>
            </w:tcBorders>
            <w:shd w:val="clear" w:color="auto" w:fill="auto"/>
            <w:hideMark/>
          </w:tcPr>
          <w:p w14:paraId="68F3F34A" w14:textId="77777777" w:rsidR="002B18A6" w:rsidRPr="00121714" w:rsidRDefault="002B18A6" w:rsidP="00F341E0">
            <w:pPr>
              <w:spacing w:after="0" w:line="240" w:lineRule="auto"/>
              <w:jc w:val="both"/>
              <w:textAlignment w:val="baseline"/>
              <w:rPr>
                <w:rFonts w:ascii="Times New Roman" w:eastAsia="Times New Roman" w:hAnsi="Times New Roman" w:cs="Times New Roman"/>
                <w:sz w:val="24"/>
                <w:szCs w:val="24"/>
                <w:lang w:eastAsia="en-GB"/>
              </w:rPr>
            </w:pPr>
            <w:r w:rsidRPr="00121714">
              <w:rPr>
                <w:rFonts w:ascii="Arial" w:eastAsia="Times New Roman" w:hAnsi="Arial" w:cs="Arial"/>
                <w:b/>
                <w:bCs/>
                <w:sz w:val="20"/>
                <w:szCs w:val="20"/>
                <w:lang w:eastAsia="en-GB"/>
              </w:rPr>
              <w:lastRenderedPageBreak/>
              <w:t>Delivering Infrastructure </w:t>
            </w:r>
            <w:r w:rsidRPr="00121714">
              <w:rPr>
                <w:rFonts w:ascii="Arial" w:eastAsia="Times New Roman" w:hAnsi="Arial" w:cs="Arial"/>
                <w:sz w:val="20"/>
                <w:szCs w:val="20"/>
                <w:lang w:eastAsia="en-GB"/>
              </w:rPr>
              <w:t> </w:t>
            </w:r>
          </w:p>
        </w:tc>
      </w:tr>
      <w:tr w:rsidR="002B18A6" w:rsidRPr="00121714" w14:paraId="44F5BAE7" w14:textId="77777777" w:rsidTr="00F341E0">
        <w:trPr>
          <w:trHeight w:val="300"/>
        </w:trPr>
        <w:tc>
          <w:tcPr>
            <w:tcW w:w="2702" w:type="dxa"/>
            <w:tcBorders>
              <w:top w:val="single" w:sz="6" w:space="0" w:color="auto"/>
              <w:left w:val="single" w:sz="6" w:space="0" w:color="auto"/>
              <w:bottom w:val="single" w:sz="6" w:space="0" w:color="auto"/>
              <w:right w:val="single" w:sz="6" w:space="0" w:color="auto"/>
            </w:tcBorders>
            <w:shd w:val="clear" w:color="auto" w:fill="auto"/>
            <w:hideMark/>
          </w:tcPr>
          <w:p w14:paraId="50C7563B" w14:textId="77777777" w:rsidR="002B18A6" w:rsidRPr="00121714" w:rsidRDefault="002B18A6" w:rsidP="00F341E0">
            <w:pPr>
              <w:numPr>
                <w:ilvl w:val="0"/>
                <w:numId w:val="7"/>
              </w:numPr>
              <w:spacing w:after="0" w:line="240" w:lineRule="auto"/>
              <w:ind w:left="1080" w:firstLine="0"/>
              <w:textAlignment w:val="baseline"/>
              <w:rPr>
                <w:rFonts w:ascii="Arial" w:eastAsia="Times New Roman" w:hAnsi="Arial" w:cs="Arial"/>
                <w:sz w:val="20"/>
                <w:szCs w:val="20"/>
                <w:lang w:eastAsia="en-GB"/>
              </w:rPr>
            </w:pPr>
            <w:r w:rsidRPr="00121714">
              <w:rPr>
                <w:rFonts w:ascii="Arial" w:eastAsia="Times New Roman" w:hAnsi="Arial" w:cs="Arial"/>
                <w:sz w:val="20"/>
                <w:szCs w:val="20"/>
                <w:lang w:eastAsia="en-GB"/>
              </w:rPr>
              <w:t>Forward funding infrastructure  </w:t>
            </w:r>
          </w:p>
          <w:p w14:paraId="0A43EEFA" w14:textId="77777777" w:rsidR="002B18A6" w:rsidRPr="00121714" w:rsidRDefault="002B18A6" w:rsidP="00F341E0">
            <w:pPr>
              <w:numPr>
                <w:ilvl w:val="0"/>
                <w:numId w:val="7"/>
              </w:numPr>
              <w:spacing w:after="0" w:line="240" w:lineRule="auto"/>
              <w:ind w:left="1080" w:firstLine="0"/>
              <w:textAlignment w:val="baseline"/>
              <w:rPr>
                <w:rFonts w:ascii="Arial" w:eastAsia="Times New Roman" w:hAnsi="Arial" w:cs="Arial"/>
                <w:sz w:val="20"/>
                <w:szCs w:val="20"/>
                <w:lang w:eastAsia="en-GB"/>
              </w:rPr>
            </w:pPr>
            <w:r w:rsidRPr="00121714">
              <w:rPr>
                <w:rFonts w:ascii="Arial" w:eastAsia="Times New Roman" w:hAnsi="Arial" w:cs="Arial"/>
                <w:sz w:val="20"/>
                <w:szCs w:val="20"/>
                <w:lang w:eastAsia="en-GB"/>
              </w:rPr>
              <w:t>The Infrastructure Delivery Strategy  </w:t>
            </w:r>
          </w:p>
          <w:p w14:paraId="6B33A29E" w14:textId="77777777" w:rsidR="002B18A6" w:rsidRPr="00121714" w:rsidRDefault="002B18A6" w:rsidP="00F341E0">
            <w:pPr>
              <w:spacing w:after="0" w:line="240" w:lineRule="auto"/>
              <w:textAlignment w:val="baseline"/>
              <w:rPr>
                <w:rFonts w:ascii="Times New Roman" w:eastAsia="Times New Roman" w:hAnsi="Times New Roman" w:cs="Times New Roman"/>
                <w:sz w:val="24"/>
                <w:szCs w:val="24"/>
                <w:lang w:eastAsia="en-GB"/>
              </w:rPr>
            </w:pPr>
            <w:r w:rsidRPr="00121714">
              <w:rPr>
                <w:rFonts w:ascii="Arial" w:eastAsia="Times New Roman" w:hAnsi="Arial" w:cs="Arial"/>
                <w:sz w:val="20"/>
                <w:szCs w:val="20"/>
                <w:lang w:eastAsia="en-GB"/>
              </w:rPr>
              <w:t> </w:t>
            </w:r>
          </w:p>
        </w:tc>
        <w:tc>
          <w:tcPr>
            <w:tcW w:w="6340" w:type="dxa"/>
            <w:tcBorders>
              <w:top w:val="single" w:sz="6" w:space="0" w:color="auto"/>
              <w:left w:val="single" w:sz="6" w:space="0" w:color="auto"/>
              <w:bottom w:val="single" w:sz="6" w:space="0" w:color="auto"/>
              <w:right w:val="single" w:sz="6" w:space="0" w:color="auto"/>
            </w:tcBorders>
            <w:shd w:val="clear" w:color="auto" w:fill="auto"/>
            <w:hideMark/>
          </w:tcPr>
          <w:p w14:paraId="36F27146" w14:textId="77777777" w:rsidR="002B18A6" w:rsidRPr="00121714" w:rsidRDefault="002B18A6" w:rsidP="00F341E0">
            <w:pPr>
              <w:numPr>
                <w:ilvl w:val="0"/>
                <w:numId w:val="8"/>
              </w:numPr>
              <w:spacing w:after="0" w:line="240" w:lineRule="auto"/>
              <w:ind w:left="1080" w:firstLine="0"/>
              <w:textAlignment w:val="baseline"/>
              <w:rPr>
                <w:rFonts w:ascii="Arial" w:eastAsia="Times New Roman" w:hAnsi="Arial" w:cs="Arial"/>
                <w:sz w:val="18"/>
                <w:szCs w:val="18"/>
                <w:lang w:eastAsia="en-GB"/>
              </w:rPr>
            </w:pPr>
            <w:r w:rsidRPr="00121714">
              <w:rPr>
                <w:rFonts w:ascii="Arial" w:eastAsia="Times New Roman" w:hAnsi="Arial" w:cs="Arial"/>
                <w:sz w:val="18"/>
                <w:szCs w:val="18"/>
                <w:lang w:eastAsia="en-GB"/>
              </w:rPr>
              <w:t>disagree that borrowing against Levy proceeds will be sufficient to ensure the timely delivery of infrastructure. </w:t>
            </w:r>
          </w:p>
          <w:p w14:paraId="0DF0573C" w14:textId="77777777" w:rsidR="002B18A6" w:rsidRPr="00121714" w:rsidRDefault="002B18A6" w:rsidP="00F341E0">
            <w:pPr>
              <w:numPr>
                <w:ilvl w:val="0"/>
                <w:numId w:val="8"/>
              </w:numPr>
              <w:spacing w:after="0" w:line="240" w:lineRule="auto"/>
              <w:ind w:left="1080" w:firstLine="0"/>
              <w:textAlignment w:val="baseline"/>
              <w:rPr>
                <w:rFonts w:ascii="Arial" w:eastAsia="Times New Roman" w:hAnsi="Arial" w:cs="Arial"/>
                <w:sz w:val="18"/>
                <w:szCs w:val="18"/>
                <w:lang w:eastAsia="en-GB"/>
              </w:rPr>
            </w:pPr>
            <w:r w:rsidRPr="00121714">
              <w:rPr>
                <w:rFonts w:ascii="Arial" w:eastAsia="Times New Roman" w:hAnsi="Arial" w:cs="Arial"/>
                <w:sz w:val="18"/>
                <w:szCs w:val="18"/>
                <w:lang w:eastAsia="en-GB"/>
              </w:rPr>
              <w:t>disagree that specified upfront payments of the Levy should be enabled due to uncertainty this creates for developers.  </w:t>
            </w:r>
          </w:p>
          <w:p w14:paraId="584F533D" w14:textId="77777777" w:rsidR="002B18A6" w:rsidRPr="00121714" w:rsidRDefault="002B18A6" w:rsidP="00F341E0">
            <w:pPr>
              <w:numPr>
                <w:ilvl w:val="0"/>
                <w:numId w:val="8"/>
              </w:numPr>
              <w:spacing w:after="0" w:line="240" w:lineRule="auto"/>
              <w:ind w:left="1080" w:firstLine="0"/>
              <w:textAlignment w:val="baseline"/>
              <w:rPr>
                <w:rFonts w:ascii="Arial" w:eastAsia="Times New Roman" w:hAnsi="Arial" w:cs="Arial"/>
                <w:sz w:val="18"/>
                <w:szCs w:val="18"/>
                <w:lang w:eastAsia="en-GB"/>
              </w:rPr>
            </w:pPr>
            <w:r w:rsidRPr="00121714">
              <w:rPr>
                <w:rFonts w:ascii="Arial" w:eastAsia="Times New Roman" w:hAnsi="Arial" w:cs="Arial"/>
                <w:sz w:val="18"/>
                <w:szCs w:val="18"/>
                <w:lang w:eastAsia="en-GB"/>
              </w:rPr>
              <w:t xml:space="preserve">suggest that infrastructure providers should be required to engage in the process of identifying infrastructure </w:t>
            </w:r>
            <w:proofErr w:type="gramStart"/>
            <w:r w:rsidRPr="00121714">
              <w:rPr>
                <w:rFonts w:ascii="Arial" w:eastAsia="Times New Roman" w:hAnsi="Arial" w:cs="Arial"/>
                <w:sz w:val="18"/>
                <w:szCs w:val="18"/>
                <w:lang w:eastAsia="en-GB"/>
              </w:rPr>
              <w:t>needs</w:t>
            </w:r>
            <w:proofErr w:type="gramEnd"/>
            <w:r w:rsidRPr="00121714">
              <w:rPr>
                <w:rFonts w:ascii="Arial" w:eastAsia="Times New Roman" w:hAnsi="Arial" w:cs="Arial"/>
                <w:sz w:val="18"/>
                <w:szCs w:val="18"/>
                <w:lang w:eastAsia="en-GB"/>
              </w:rPr>
              <w:t> </w:t>
            </w:r>
          </w:p>
          <w:p w14:paraId="76393F12" w14:textId="77777777" w:rsidR="002B18A6" w:rsidRPr="00121714" w:rsidRDefault="002B18A6" w:rsidP="00F341E0">
            <w:pPr>
              <w:numPr>
                <w:ilvl w:val="0"/>
                <w:numId w:val="8"/>
              </w:numPr>
              <w:spacing w:after="0" w:line="240" w:lineRule="auto"/>
              <w:ind w:left="1080" w:firstLine="0"/>
              <w:textAlignment w:val="baseline"/>
              <w:rPr>
                <w:rFonts w:ascii="Arial" w:eastAsia="Times New Roman" w:hAnsi="Arial" w:cs="Arial"/>
                <w:sz w:val="18"/>
                <w:szCs w:val="18"/>
                <w:lang w:eastAsia="en-GB"/>
              </w:rPr>
            </w:pPr>
            <w:r w:rsidRPr="00121714">
              <w:rPr>
                <w:rFonts w:ascii="Arial" w:eastAsia="Times New Roman" w:hAnsi="Arial" w:cs="Arial"/>
                <w:sz w:val="18"/>
                <w:szCs w:val="18"/>
                <w:lang w:eastAsia="en-GB"/>
              </w:rPr>
              <w:t xml:space="preserve">support community involvement in establishing infrastructure </w:t>
            </w:r>
            <w:proofErr w:type="gramStart"/>
            <w:r w:rsidRPr="00121714">
              <w:rPr>
                <w:rFonts w:ascii="Arial" w:eastAsia="Times New Roman" w:hAnsi="Arial" w:cs="Arial"/>
                <w:sz w:val="18"/>
                <w:szCs w:val="18"/>
                <w:lang w:eastAsia="en-GB"/>
              </w:rPr>
              <w:t>needs</w:t>
            </w:r>
            <w:proofErr w:type="gramEnd"/>
            <w:r w:rsidRPr="00121714">
              <w:rPr>
                <w:rFonts w:ascii="Arial" w:eastAsia="Times New Roman" w:hAnsi="Arial" w:cs="Arial"/>
                <w:sz w:val="18"/>
                <w:szCs w:val="18"/>
                <w:lang w:eastAsia="en-GB"/>
              </w:rPr>
              <w:t> </w:t>
            </w:r>
          </w:p>
          <w:p w14:paraId="0D3595AB" w14:textId="77777777" w:rsidR="002B18A6" w:rsidRPr="00121714" w:rsidRDefault="002B18A6" w:rsidP="00F341E0">
            <w:pPr>
              <w:numPr>
                <w:ilvl w:val="0"/>
                <w:numId w:val="8"/>
              </w:numPr>
              <w:spacing w:after="0" w:line="240" w:lineRule="auto"/>
              <w:ind w:left="1080" w:firstLine="0"/>
              <w:textAlignment w:val="baseline"/>
              <w:rPr>
                <w:rFonts w:ascii="Arial" w:eastAsia="Times New Roman" w:hAnsi="Arial" w:cs="Arial"/>
                <w:sz w:val="18"/>
                <w:szCs w:val="18"/>
                <w:lang w:eastAsia="en-GB"/>
              </w:rPr>
            </w:pPr>
            <w:r w:rsidRPr="00121714">
              <w:rPr>
                <w:rFonts w:ascii="Arial" w:eastAsia="Times New Roman" w:hAnsi="Arial" w:cs="Arial"/>
                <w:sz w:val="18"/>
                <w:szCs w:val="18"/>
                <w:lang w:eastAsia="en-GB"/>
              </w:rPr>
              <w:t xml:space="preserve">agree that the Local Plan preparation stage forms a logical and resource efficient time to scope infrastructure </w:t>
            </w:r>
            <w:proofErr w:type="gramStart"/>
            <w:r w:rsidRPr="00121714">
              <w:rPr>
                <w:rFonts w:ascii="Arial" w:eastAsia="Times New Roman" w:hAnsi="Arial" w:cs="Arial"/>
                <w:sz w:val="18"/>
                <w:szCs w:val="18"/>
                <w:lang w:eastAsia="en-GB"/>
              </w:rPr>
              <w:t>requirements</w:t>
            </w:r>
            <w:proofErr w:type="gramEnd"/>
            <w:r w:rsidRPr="00121714">
              <w:rPr>
                <w:rFonts w:ascii="Arial" w:eastAsia="Times New Roman" w:hAnsi="Arial" w:cs="Arial"/>
                <w:sz w:val="18"/>
                <w:szCs w:val="18"/>
                <w:lang w:eastAsia="en-GB"/>
              </w:rPr>
              <w:t> </w:t>
            </w:r>
          </w:p>
          <w:p w14:paraId="5BBB8BF9" w14:textId="77777777" w:rsidR="002B18A6" w:rsidRPr="00121714" w:rsidRDefault="002B18A6" w:rsidP="00F341E0">
            <w:pPr>
              <w:spacing w:after="0" w:line="240" w:lineRule="auto"/>
              <w:ind w:left="720"/>
              <w:textAlignment w:val="baseline"/>
              <w:rPr>
                <w:rFonts w:ascii="Times New Roman" w:eastAsia="Times New Roman" w:hAnsi="Times New Roman" w:cs="Times New Roman"/>
                <w:sz w:val="24"/>
                <w:szCs w:val="24"/>
                <w:lang w:eastAsia="en-GB"/>
              </w:rPr>
            </w:pPr>
            <w:r w:rsidRPr="00121714">
              <w:rPr>
                <w:rFonts w:ascii="Arial" w:eastAsia="Times New Roman" w:hAnsi="Arial" w:cs="Arial"/>
                <w:sz w:val="18"/>
                <w:szCs w:val="18"/>
                <w:lang w:eastAsia="en-GB"/>
              </w:rPr>
              <w:t> </w:t>
            </w:r>
          </w:p>
        </w:tc>
      </w:tr>
      <w:tr w:rsidR="002B18A6" w:rsidRPr="00121714" w14:paraId="5F0AC9DA" w14:textId="77777777" w:rsidTr="00F341E0">
        <w:trPr>
          <w:trHeight w:val="300"/>
        </w:trPr>
        <w:tc>
          <w:tcPr>
            <w:tcW w:w="9042" w:type="dxa"/>
            <w:gridSpan w:val="2"/>
            <w:tcBorders>
              <w:top w:val="single" w:sz="6" w:space="0" w:color="auto"/>
              <w:left w:val="single" w:sz="6" w:space="0" w:color="auto"/>
              <w:bottom w:val="single" w:sz="6" w:space="0" w:color="auto"/>
              <w:right w:val="single" w:sz="6" w:space="0" w:color="auto"/>
            </w:tcBorders>
            <w:shd w:val="clear" w:color="auto" w:fill="auto"/>
            <w:hideMark/>
          </w:tcPr>
          <w:p w14:paraId="22101BE4" w14:textId="77777777" w:rsidR="002B18A6" w:rsidRPr="00121714" w:rsidRDefault="002B18A6" w:rsidP="00F341E0">
            <w:pPr>
              <w:spacing w:after="0" w:line="240" w:lineRule="auto"/>
              <w:jc w:val="both"/>
              <w:textAlignment w:val="baseline"/>
              <w:rPr>
                <w:rFonts w:ascii="Times New Roman" w:eastAsia="Times New Roman" w:hAnsi="Times New Roman" w:cs="Times New Roman"/>
                <w:sz w:val="24"/>
                <w:szCs w:val="24"/>
                <w:lang w:eastAsia="en-GB"/>
              </w:rPr>
            </w:pPr>
            <w:r w:rsidRPr="00121714">
              <w:rPr>
                <w:rFonts w:ascii="Arial" w:eastAsia="Times New Roman" w:hAnsi="Arial" w:cs="Arial"/>
                <w:b/>
                <w:bCs/>
                <w:sz w:val="20"/>
                <w:szCs w:val="20"/>
                <w:lang w:eastAsia="en-GB"/>
              </w:rPr>
              <w:t>Affordable Housing </w:t>
            </w:r>
            <w:r w:rsidRPr="00121714">
              <w:rPr>
                <w:rFonts w:ascii="Arial" w:eastAsia="Times New Roman" w:hAnsi="Arial" w:cs="Arial"/>
                <w:sz w:val="20"/>
                <w:szCs w:val="20"/>
                <w:lang w:eastAsia="en-GB"/>
              </w:rPr>
              <w:t> </w:t>
            </w:r>
          </w:p>
        </w:tc>
      </w:tr>
      <w:tr w:rsidR="002B18A6" w:rsidRPr="00121714" w14:paraId="2DCDAFC5" w14:textId="77777777" w:rsidTr="00F341E0">
        <w:trPr>
          <w:trHeight w:val="300"/>
        </w:trPr>
        <w:tc>
          <w:tcPr>
            <w:tcW w:w="2702" w:type="dxa"/>
            <w:tcBorders>
              <w:top w:val="single" w:sz="6" w:space="0" w:color="auto"/>
              <w:left w:val="single" w:sz="6" w:space="0" w:color="auto"/>
              <w:bottom w:val="single" w:sz="6" w:space="0" w:color="auto"/>
              <w:right w:val="single" w:sz="6" w:space="0" w:color="auto"/>
            </w:tcBorders>
            <w:shd w:val="clear" w:color="auto" w:fill="auto"/>
            <w:hideMark/>
          </w:tcPr>
          <w:p w14:paraId="3BEE89BC" w14:textId="77777777" w:rsidR="002B18A6" w:rsidRPr="00121714" w:rsidRDefault="002B18A6" w:rsidP="00F341E0">
            <w:pPr>
              <w:numPr>
                <w:ilvl w:val="0"/>
                <w:numId w:val="9"/>
              </w:numPr>
              <w:spacing w:after="0" w:line="240" w:lineRule="auto"/>
              <w:ind w:left="1080" w:firstLine="0"/>
              <w:jc w:val="both"/>
              <w:textAlignment w:val="baseline"/>
              <w:rPr>
                <w:rFonts w:ascii="Arial" w:eastAsia="Times New Roman" w:hAnsi="Arial" w:cs="Arial"/>
                <w:sz w:val="20"/>
                <w:szCs w:val="20"/>
                <w:lang w:eastAsia="en-GB"/>
              </w:rPr>
            </w:pPr>
            <w:r w:rsidRPr="00121714">
              <w:rPr>
                <w:rFonts w:ascii="Arial" w:eastAsia="Times New Roman" w:hAnsi="Arial" w:cs="Arial"/>
                <w:sz w:val="20"/>
                <w:szCs w:val="20"/>
                <w:lang w:eastAsia="en-GB"/>
              </w:rPr>
              <w:t>Affordable Housing  </w:t>
            </w:r>
          </w:p>
          <w:p w14:paraId="4926CD75" w14:textId="77777777" w:rsidR="002B18A6" w:rsidRPr="00121714" w:rsidRDefault="002B18A6" w:rsidP="00F341E0">
            <w:pPr>
              <w:spacing w:after="0" w:line="240" w:lineRule="auto"/>
              <w:textAlignment w:val="baseline"/>
              <w:rPr>
                <w:rFonts w:ascii="Times New Roman" w:eastAsia="Times New Roman" w:hAnsi="Times New Roman" w:cs="Times New Roman"/>
                <w:sz w:val="24"/>
                <w:szCs w:val="24"/>
                <w:lang w:eastAsia="en-GB"/>
              </w:rPr>
            </w:pPr>
            <w:r w:rsidRPr="00121714">
              <w:rPr>
                <w:rFonts w:ascii="Arial" w:eastAsia="Times New Roman" w:hAnsi="Arial" w:cs="Arial"/>
                <w:sz w:val="20"/>
                <w:szCs w:val="20"/>
                <w:lang w:eastAsia="en-GB"/>
              </w:rPr>
              <w:t> </w:t>
            </w:r>
          </w:p>
        </w:tc>
        <w:tc>
          <w:tcPr>
            <w:tcW w:w="6340" w:type="dxa"/>
            <w:tcBorders>
              <w:top w:val="single" w:sz="6" w:space="0" w:color="auto"/>
              <w:left w:val="single" w:sz="6" w:space="0" w:color="auto"/>
              <w:bottom w:val="single" w:sz="6" w:space="0" w:color="auto"/>
              <w:right w:val="single" w:sz="6" w:space="0" w:color="auto"/>
            </w:tcBorders>
            <w:shd w:val="clear" w:color="auto" w:fill="auto"/>
            <w:hideMark/>
          </w:tcPr>
          <w:p w14:paraId="70A4EB60" w14:textId="77777777" w:rsidR="002B18A6" w:rsidRPr="00121714" w:rsidRDefault="002B18A6" w:rsidP="00F341E0">
            <w:pPr>
              <w:numPr>
                <w:ilvl w:val="0"/>
                <w:numId w:val="10"/>
              </w:numPr>
              <w:spacing w:after="0" w:line="240" w:lineRule="auto"/>
              <w:ind w:left="1080" w:firstLine="0"/>
              <w:textAlignment w:val="baseline"/>
              <w:rPr>
                <w:rFonts w:ascii="Arial" w:eastAsia="Times New Roman" w:hAnsi="Arial" w:cs="Arial"/>
                <w:sz w:val="20"/>
                <w:szCs w:val="20"/>
                <w:lang w:eastAsia="en-GB"/>
              </w:rPr>
            </w:pPr>
            <w:r w:rsidRPr="00121714">
              <w:rPr>
                <w:rFonts w:ascii="Arial" w:eastAsia="Times New Roman" w:hAnsi="Arial" w:cs="Arial"/>
                <w:sz w:val="18"/>
                <w:szCs w:val="18"/>
                <w:lang w:eastAsia="en-GB"/>
              </w:rPr>
              <w:t>agree that the ‘right to require’ (where the local authority will set out the proportion of the Levy that must be delivered in-kind and </w:t>
            </w:r>
          </w:p>
          <w:p w14:paraId="01E6B4F8" w14:textId="77777777" w:rsidR="002B18A6" w:rsidRPr="00121714" w:rsidRDefault="002B18A6" w:rsidP="00F341E0">
            <w:pPr>
              <w:spacing w:after="0" w:line="240" w:lineRule="auto"/>
              <w:ind w:left="720"/>
              <w:textAlignment w:val="baseline"/>
              <w:rPr>
                <w:rFonts w:ascii="Times New Roman" w:eastAsia="Times New Roman" w:hAnsi="Times New Roman" w:cs="Times New Roman"/>
                <w:sz w:val="24"/>
                <w:szCs w:val="24"/>
                <w:lang w:eastAsia="en-GB"/>
              </w:rPr>
            </w:pPr>
            <w:r w:rsidRPr="00121714">
              <w:rPr>
                <w:rFonts w:ascii="Arial" w:eastAsia="Times New Roman" w:hAnsi="Arial" w:cs="Arial"/>
                <w:sz w:val="18"/>
                <w:szCs w:val="18"/>
                <w:lang w:eastAsia="en-GB"/>
              </w:rPr>
              <w:t>on-site affordable housing) will reduce the risk that affordable housing contributions are negotiated down based on viability grounds.</w:t>
            </w:r>
            <w:r w:rsidRPr="00121714">
              <w:rPr>
                <w:rFonts w:ascii="Arial" w:eastAsia="Times New Roman" w:hAnsi="Arial" w:cs="Arial"/>
                <w:color w:val="1F497D"/>
                <w:sz w:val="20"/>
                <w:szCs w:val="20"/>
                <w:lang w:eastAsia="en-GB"/>
              </w:rPr>
              <w:t>  </w:t>
            </w:r>
          </w:p>
          <w:p w14:paraId="0AB94193" w14:textId="77777777" w:rsidR="002B18A6" w:rsidRPr="00121714" w:rsidRDefault="002B18A6" w:rsidP="00F341E0">
            <w:pPr>
              <w:numPr>
                <w:ilvl w:val="0"/>
                <w:numId w:val="11"/>
              </w:numPr>
              <w:spacing w:after="0" w:line="240" w:lineRule="auto"/>
              <w:ind w:left="1080" w:firstLine="0"/>
              <w:textAlignment w:val="baseline"/>
              <w:rPr>
                <w:rFonts w:ascii="Arial" w:eastAsia="Times New Roman" w:hAnsi="Arial" w:cs="Arial"/>
                <w:sz w:val="18"/>
                <w:szCs w:val="18"/>
                <w:lang w:eastAsia="en-GB"/>
              </w:rPr>
            </w:pPr>
            <w:r w:rsidRPr="00121714">
              <w:rPr>
                <w:rFonts w:ascii="Arial" w:eastAsia="Times New Roman" w:hAnsi="Arial" w:cs="Arial"/>
                <w:sz w:val="18"/>
                <w:szCs w:val="18"/>
                <w:lang w:eastAsia="en-GB"/>
              </w:rPr>
              <w:t>that the non-affordable housing proportion of the Levy rate should be charged at a reduced rate on high percentage / 100% affordable housing schemes, to be determined by each Local Authority and rural affordable housing led sites exempt from the Levy. </w:t>
            </w:r>
          </w:p>
          <w:p w14:paraId="00154FB8" w14:textId="77777777" w:rsidR="002B18A6" w:rsidRPr="00121714" w:rsidRDefault="002B18A6" w:rsidP="00F341E0">
            <w:pPr>
              <w:numPr>
                <w:ilvl w:val="0"/>
                <w:numId w:val="11"/>
              </w:numPr>
              <w:spacing w:after="0" w:line="240" w:lineRule="auto"/>
              <w:ind w:left="1080" w:firstLine="0"/>
              <w:textAlignment w:val="baseline"/>
              <w:rPr>
                <w:rFonts w:ascii="Arial" w:eastAsia="Times New Roman" w:hAnsi="Arial" w:cs="Arial"/>
                <w:sz w:val="18"/>
                <w:szCs w:val="18"/>
                <w:lang w:eastAsia="en-GB"/>
              </w:rPr>
            </w:pPr>
            <w:r w:rsidRPr="00121714">
              <w:rPr>
                <w:rFonts w:ascii="Arial" w:eastAsia="Times New Roman" w:hAnsi="Arial" w:cs="Arial"/>
                <w:sz w:val="18"/>
                <w:szCs w:val="18"/>
                <w:lang w:eastAsia="en-GB"/>
              </w:rPr>
              <w:t>support ‘right to require’ rate being left to the discretion of the Local Authority based on local circumstance and does not consider there is a need for an upper limit to the %.  </w:t>
            </w:r>
          </w:p>
          <w:p w14:paraId="4C9FE980" w14:textId="77777777" w:rsidR="002B18A6" w:rsidRPr="00121714" w:rsidRDefault="002B18A6" w:rsidP="00F341E0">
            <w:pPr>
              <w:spacing w:after="0" w:line="240" w:lineRule="auto"/>
              <w:ind w:left="720"/>
              <w:textAlignment w:val="baseline"/>
              <w:rPr>
                <w:rFonts w:ascii="Times New Roman" w:eastAsia="Times New Roman" w:hAnsi="Times New Roman" w:cs="Times New Roman"/>
                <w:sz w:val="24"/>
                <w:szCs w:val="24"/>
                <w:lang w:eastAsia="en-GB"/>
              </w:rPr>
            </w:pPr>
            <w:r w:rsidRPr="00121714">
              <w:rPr>
                <w:rFonts w:ascii="Arial" w:eastAsia="Times New Roman" w:hAnsi="Arial" w:cs="Arial"/>
                <w:sz w:val="18"/>
                <w:szCs w:val="18"/>
                <w:lang w:eastAsia="en-GB"/>
              </w:rPr>
              <w:t> </w:t>
            </w:r>
          </w:p>
        </w:tc>
      </w:tr>
      <w:tr w:rsidR="002B18A6" w:rsidRPr="00121714" w14:paraId="206709D7" w14:textId="77777777" w:rsidTr="00F341E0">
        <w:trPr>
          <w:trHeight w:val="300"/>
        </w:trPr>
        <w:tc>
          <w:tcPr>
            <w:tcW w:w="9042" w:type="dxa"/>
            <w:gridSpan w:val="2"/>
            <w:tcBorders>
              <w:top w:val="single" w:sz="6" w:space="0" w:color="auto"/>
              <w:left w:val="single" w:sz="6" w:space="0" w:color="auto"/>
              <w:bottom w:val="single" w:sz="6" w:space="0" w:color="auto"/>
              <w:right w:val="single" w:sz="6" w:space="0" w:color="auto"/>
            </w:tcBorders>
            <w:shd w:val="clear" w:color="auto" w:fill="auto"/>
            <w:hideMark/>
          </w:tcPr>
          <w:p w14:paraId="46DCD1BD" w14:textId="77777777" w:rsidR="002B18A6" w:rsidRPr="00121714" w:rsidRDefault="002B18A6" w:rsidP="00F341E0">
            <w:pPr>
              <w:spacing w:after="0" w:line="240" w:lineRule="auto"/>
              <w:textAlignment w:val="baseline"/>
              <w:rPr>
                <w:rFonts w:ascii="Times New Roman" w:eastAsia="Times New Roman" w:hAnsi="Times New Roman" w:cs="Times New Roman"/>
                <w:sz w:val="24"/>
                <w:szCs w:val="24"/>
                <w:lang w:eastAsia="en-GB"/>
              </w:rPr>
            </w:pPr>
            <w:r w:rsidRPr="00121714">
              <w:rPr>
                <w:rFonts w:ascii="Arial" w:eastAsia="Times New Roman" w:hAnsi="Arial" w:cs="Arial"/>
                <w:b/>
                <w:bCs/>
                <w:sz w:val="20"/>
                <w:szCs w:val="20"/>
                <w:lang w:eastAsia="en-GB"/>
              </w:rPr>
              <w:t>Other areas </w:t>
            </w:r>
            <w:r w:rsidRPr="00121714">
              <w:rPr>
                <w:rFonts w:ascii="Arial" w:eastAsia="Times New Roman" w:hAnsi="Arial" w:cs="Arial"/>
                <w:sz w:val="20"/>
                <w:szCs w:val="20"/>
                <w:lang w:eastAsia="en-GB"/>
              </w:rPr>
              <w:t> </w:t>
            </w:r>
          </w:p>
        </w:tc>
      </w:tr>
      <w:tr w:rsidR="002B18A6" w:rsidRPr="00121714" w14:paraId="460E322E" w14:textId="77777777" w:rsidTr="00F341E0">
        <w:trPr>
          <w:trHeight w:val="300"/>
        </w:trPr>
        <w:tc>
          <w:tcPr>
            <w:tcW w:w="2702" w:type="dxa"/>
            <w:tcBorders>
              <w:top w:val="single" w:sz="6" w:space="0" w:color="auto"/>
              <w:left w:val="single" w:sz="6" w:space="0" w:color="auto"/>
              <w:bottom w:val="single" w:sz="6" w:space="0" w:color="auto"/>
              <w:right w:val="single" w:sz="6" w:space="0" w:color="auto"/>
            </w:tcBorders>
            <w:shd w:val="clear" w:color="auto" w:fill="auto"/>
            <w:hideMark/>
          </w:tcPr>
          <w:p w14:paraId="2BF15034" w14:textId="77777777" w:rsidR="002B18A6" w:rsidRPr="00121714" w:rsidRDefault="002B18A6" w:rsidP="00F341E0">
            <w:pPr>
              <w:numPr>
                <w:ilvl w:val="0"/>
                <w:numId w:val="12"/>
              </w:numPr>
              <w:spacing w:after="0" w:line="240" w:lineRule="auto"/>
              <w:ind w:left="1080" w:firstLine="0"/>
              <w:jc w:val="both"/>
              <w:textAlignment w:val="baseline"/>
              <w:rPr>
                <w:rFonts w:ascii="Arial" w:eastAsia="Times New Roman" w:hAnsi="Arial" w:cs="Arial"/>
                <w:sz w:val="20"/>
                <w:szCs w:val="20"/>
                <w:lang w:eastAsia="en-GB"/>
              </w:rPr>
            </w:pPr>
            <w:r w:rsidRPr="00121714">
              <w:rPr>
                <w:rFonts w:ascii="Arial" w:eastAsia="Times New Roman" w:hAnsi="Arial" w:cs="Arial"/>
                <w:sz w:val="20"/>
                <w:szCs w:val="20"/>
                <w:lang w:eastAsia="en-GB"/>
              </w:rPr>
              <w:t>The neighbourhood and administrative share </w:t>
            </w:r>
          </w:p>
          <w:p w14:paraId="639E9F39" w14:textId="77777777" w:rsidR="002B18A6" w:rsidRPr="00121714" w:rsidRDefault="002B18A6" w:rsidP="00F341E0">
            <w:pPr>
              <w:numPr>
                <w:ilvl w:val="0"/>
                <w:numId w:val="12"/>
              </w:numPr>
              <w:spacing w:after="0" w:line="240" w:lineRule="auto"/>
              <w:ind w:left="1080" w:firstLine="0"/>
              <w:jc w:val="both"/>
              <w:textAlignment w:val="baseline"/>
              <w:rPr>
                <w:rFonts w:ascii="Arial" w:eastAsia="Times New Roman" w:hAnsi="Arial" w:cs="Arial"/>
                <w:sz w:val="20"/>
                <w:szCs w:val="20"/>
                <w:lang w:eastAsia="en-GB"/>
              </w:rPr>
            </w:pPr>
            <w:r w:rsidRPr="00121714">
              <w:rPr>
                <w:rFonts w:ascii="Arial" w:eastAsia="Times New Roman" w:hAnsi="Arial" w:cs="Arial"/>
                <w:sz w:val="20"/>
                <w:szCs w:val="20"/>
                <w:lang w:eastAsia="en-GB"/>
              </w:rPr>
              <w:t>Exceptions and reduced rates  </w:t>
            </w:r>
          </w:p>
          <w:p w14:paraId="574F40B9" w14:textId="77777777" w:rsidR="002B18A6" w:rsidRPr="00121714" w:rsidRDefault="002B18A6" w:rsidP="00F341E0">
            <w:pPr>
              <w:spacing w:after="0" w:line="240" w:lineRule="auto"/>
              <w:textAlignment w:val="baseline"/>
              <w:rPr>
                <w:rFonts w:ascii="Times New Roman" w:eastAsia="Times New Roman" w:hAnsi="Times New Roman" w:cs="Times New Roman"/>
                <w:sz w:val="24"/>
                <w:szCs w:val="24"/>
                <w:lang w:eastAsia="en-GB"/>
              </w:rPr>
            </w:pPr>
            <w:r w:rsidRPr="00121714">
              <w:rPr>
                <w:rFonts w:ascii="Arial" w:eastAsia="Times New Roman" w:hAnsi="Arial" w:cs="Arial"/>
                <w:sz w:val="20"/>
                <w:szCs w:val="20"/>
                <w:lang w:eastAsia="en-GB"/>
              </w:rPr>
              <w:t> </w:t>
            </w:r>
          </w:p>
        </w:tc>
        <w:tc>
          <w:tcPr>
            <w:tcW w:w="6340" w:type="dxa"/>
            <w:tcBorders>
              <w:top w:val="single" w:sz="6" w:space="0" w:color="auto"/>
              <w:left w:val="single" w:sz="6" w:space="0" w:color="auto"/>
              <w:bottom w:val="single" w:sz="6" w:space="0" w:color="auto"/>
              <w:right w:val="single" w:sz="6" w:space="0" w:color="auto"/>
            </w:tcBorders>
            <w:shd w:val="clear" w:color="auto" w:fill="auto"/>
            <w:hideMark/>
          </w:tcPr>
          <w:p w14:paraId="1672CC15" w14:textId="77777777" w:rsidR="002B18A6" w:rsidRPr="00121714" w:rsidRDefault="002B18A6" w:rsidP="00F341E0">
            <w:pPr>
              <w:numPr>
                <w:ilvl w:val="0"/>
                <w:numId w:val="13"/>
              </w:numPr>
              <w:spacing w:after="0" w:line="240" w:lineRule="auto"/>
              <w:ind w:left="1080" w:firstLine="0"/>
              <w:textAlignment w:val="baseline"/>
              <w:rPr>
                <w:rFonts w:ascii="Arial" w:eastAsia="Times New Roman" w:hAnsi="Arial" w:cs="Arial"/>
                <w:sz w:val="18"/>
                <w:szCs w:val="18"/>
                <w:lang w:eastAsia="en-GB"/>
              </w:rPr>
            </w:pPr>
            <w:r w:rsidRPr="00121714">
              <w:rPr>
                <w:rFonts w:ascii="Arial" w:eastAsia="Times New Roman" w:hAnsi="Arial" w:cs="Arial"/>
                <w:sz w:val="18"/>
                <w:szCs w:val="18"/>
                <w:lang w:eastAsia="en-GB"/>
              </w:rPr>
              <w:t>support retention of the Neighbourhood Share (where a % of funding allocated to parish with approved Neighbourhood Plan) </w:t>
            </w:r>
          </w:p>
          <w:p w14:paraId="4D0BF10F" w14:textId="77777777" w:rsidR="002B18A6" w:rsidRPr="00121714" w:rsidRDefault="002B18A6" w:rsidP="00F341E0">
            <w:pPr>
              <w:numPr>
                <w:ilvl w:val="0"/>
                <w:numId w:val="13"/>
              </w:numPr>
              <w:spacing w:after="0" w:line="240" w:lineRule="auto"/>
              <w:ind w:left="1080" w:firstLine="0"/>
              <w:textAlignment w:val="baseline"/>
              <w:rPr>
                <w:rFonts w:ascii="Arial" w:eastAsia="Times New Roman" w:hAnsi="Arial" w:cs="Arial"/>
                <w:sz w:val="18"/>
                <w:szCs w:val="18"/>
                <w:lang w:eastAsia="en-GB"/>
              </w:rPr>
            </w:pPr>
            <w:r w:rsidRPr="00121714">
              <w:rPr>
                <w:rFonts w:ascii="Arial" w:eastAsia="Times New Roman" w:hAnsi="Arial" w:cs="Arial"/>
                <w:sz w:val="18"/>
                <w:szCs w:val="18"/>
                <w:lang w:eastAsia="en-GB"/>
              </w:rPr>
              <w:t>support higher rates of administrative portion of the funds due to anticipated increased resource pressures. </w:t>
            </w:r>
          </w:p>
          <w:p w14:paraId="5E2BA576" w14:textId="77777777" w:rsidR="002B18A6" w:rsidRPr="00121714" w:rsidRDefault="002B18A6" w:rsidP="00F341E0">
            <w:pPr>
              <w:numPr>
                <w:ilvl w:val="0"/>
                <w:numId w:val="13"/>
              </w:numPr>
              <w:spacing w:after="0" w:line="240" w:lineRule="auto"/>
              <w:ind w:left="1080" w:firstLine="0"/>
              <w:textAlignment w:val="baseline"/>
              <w:rPr>
                <w:rFonts w:ascii="Arial" w:eastAsia="Times New Roman" w:hAnsi="Arial" w:cs="Arial"/>
                <w:sz w:val="20"/>
                <w:szCs w:val="20"/>
                <w:lang w:eastAsia="en-GB"/>
              </w:rPr>
            </w:pPr>
            <w:r w:rsidRPr="00121714">
              <w:rPr>
                <w:rFonts w:ascii="Arial" w:eastAsia="Times New Roman" w:hAnsi="Arial" w:cs="Arial"/>
                <w:sz w:val="18"/>
                <w:szCs w:val="18"/>
                <w:lang w:eastAsia="en-GB"/>
              </w:rPr>
              <w:t>support the liability of self-build housing to pay the Levy (currently excluded) and residential annexes and extensions to continue to be excluded. </w:t>
            </w:r>
          </w:p>
          <w:p w14:paraId="4B7797FA" w14:textId="77777777" w:rsidR="002B18A6" w:rsidRPr="00121714" w:rsidRDefault="002B18A6" w:rsidP="00F341E0">
            <w:pPr>
              <w:numPr>
                <w:ilvl w:val="0"/>
                <w:numId w:val="13"/>
              </w:numPr>
              <w:spacing w:after="0" w:line="240" w:lineRule="auto"/>
              <w:ind w:left="1080" w:firstLine="0"/>
              <w:textAlignment w:val="baseline"/>
              <w:rPr>
                <w:rFonts w:ascii="Arial" w:eastAsia="Times New Roman" w:hAnsi="Arial" w:cs="Arial"/>
                <w:sz w:val="20"/>
                <w:szCs w:val="20"/>
                <w:lang w:eastAsia="en-GB"/>
              </w:rPr>
            </w:pPr>
            <w:r w:rsidRPr="00121714">
              <w:rPr>
                <w:rFonts w:ascii="Arial" w:eastAsia="Times New Roman" w:hAnsi="Arial" w:cs="Arial"/>
                <w:sz w:val="18"/>
                <w:szCs w:val="18"/>
                <w:lang w:eastAsia="en-GB"/>
              </w:rPr>
              <w:t>In terms of enforcement, Stop Notices unlikely to be effective to enforce against missed payments. </w:t>
            </w:r>
          </w:p>
        </w:tc>
      </w:tr>
      <w:tr w:rsidR="002B18A6" w:rsidRPr="00121714" w14:paraId="2735960E" w14:textId="77777777" w:rsidTr="00F341E0">
        <w:trPr>
          <w:trHeight w:val="300"/>
        </w:trPr>
        <w:tc>
          <w:tcPr>
            <w:tcW w:w="9042" w:type="dxa"/>
            <w:gridSpan w:val="2"/>
            <w:tcBorders>
              <w:top w:val="single" w:sz="6" w:space="0" w:color="auto"/>
              <w:left w:val="single" w:sz="6" w:space="0" w:color="auto"/>
              <w:bottom w:val="single" w:sz="6" w:space="0" w:color="auto"/>
              <w:right w:val="single" w:sz="6" w:space="0" w:color="auto"/>
            </w:tcBorders>
            <w:shd w:val="clear" w:color="auto" w:fill="auto"/>
            <w:hideMark/>
          </w:tcPr>
          <w:p w14:paraId="29A7D8D1" w14:textId="77777777" w:rsidR="002B18A6" w:rsidRPr="00121714" w:rsidRDefault="002B18A6" w:rsidP="00F341E0">
            <w:pPr>
              <w:spacing w:after="0" w:line="240" w:lineRule="auto"/>
              <w:jc w:val="both"/>
              <w:textAlignment w:val="baseline"/>
              <w:rPr>
                <w:rFonts w:ascii="Times New Roman" w:eastAsia="Times New Roman" w:hAnsi="Times New Roman" w:cs="Times New Roman"/>
                <w:sz w:val="24"/>
                <w:szCs w:val="24"/>
                <w:lang w:eastAsia="en-GB"/>
              </w:rPr>
            </w:pPr>
            <w:r w:rsidRPr="00121714">
              <w:rPr>
                <w:rFonts w:ascii="Arial" w:eastAsia="Times New Roman" w:hAnsi="Arial" w:cs="Arial"/>
                <w:b/>
                <w:bCs/>
                <w:sz w:val="20"/>
                <w:szCs w:val="20"/>
                <w:lang w:eastAsia="en-GB"/>
              </w:rPr>
              <w:t>Introducing the Levy</w:t>
            </w:r>
            <w:r w:rsidRPr="00121714">
              <w:rPr>
                <w:rFonts w:ascii="Arial" w:eastAsia="Times New Roman" w:hAnsi="Arial" w:cs="Arial"/>
                <w:sz w:val="20"/>
                <w:szCs w:val="20"/>
                <w:lang w:eastAsia="en-GB"/>
              </w:rPr>
              <w:t> </w:t>
            </w:r>
          </w:p>
        </w:tc>
      </w:tr>
      <w:tr w:rsidR="002B18A6" w:rsidRPr="00121714" w14:paraId="5E1DEA1E" w14:textId="77777777" w:rsidTr="00F341E0">
        <w:trPr>
          <w:trHeight w:val="300"/>
        </w:trPr>
        <w:tc>
          <w:tcPr>
            <w:tcW w:w="2702" w:type="dxa"/>
            <w:tcBorders>
              <w:top w:val="single" w:sz="6" w:space="0" w:color="auto"/>
              <w:left w:val="single" w:sz="6" w:space="0" w:color="auto"/>
              <w:bottom w:val="single" w:sz="6" w:space="0" w:color="auto"/>
              <w:right w:val="single" w:sz="6" w:space="0" w:color="auto"/>
            </w:tcBorders>
            <w:shd w:val="clear" w:color="auto" w:fill="auto"/>
            <w:hideMark/>
          </w:tcPr>
          <w:p w14:paraId="4DCA5F8B" w14:textId="77777777" w:rsidR="002B18A6" w:rsidRPr="00121714" w:rsidRDefault="002B18A6" w:rsidP="00F341E0">
            <w:pPr>
              <w:numPr>
                <w:ilvl w:val="0"/>
                <w:numId w:val="14"/>
              </w:numPr>
              <w:spacing w:after="0" w:line="240" w:lineRule="auto"/>
              <w:ind w:left="1080" w:firstLine="0"/>
              <w:jc w:val="both"/>
              <w:textAlignment w:val="baseline"/>
              <w:rPr>
                <w:rFonts w:ascii="Arial" w:eastAsia="Times New Roman" w:hAnsi="Arial" w:cs="Arial"/>
                <w:sz w:val="20"/>
                <w:szCs w:val="20"/>
                <w:lang w:eastAsia="en-GB"/>
              </w:rPr>
            </w:pPr>
            <w:r w:rsidRPr="00121714">
              <w:rPr>
                <w:rFonts w:ascii="Arial" w:eastAsia="Times New Roman" w:hAnsi="Arial" w:cs="Arial"/>
                <w:sz w:val="20"/>
                <w:szCs w:val="20"/>
                <w:lang w:eastAsia="en-GB"/>
              </w:rPr>
              <w:t>Test &amp; Learn </w:t>
            </w:r>
          </w:p>
          <w:p w14:paraId="67C023C5" w14:textId="77777777" w:rsidR="002B18A6" w:rsidRPr="00121714" w:rsidRDefault="002B18A6" w:rsidP="00F341E0">
            <w:pPr>
              <w:numPr>
                <w:ilvl w:val="0"/>
                <w:numId w:val="14"/>
              </w:numPr>
              <w:spacing w:after="0" w:line="240" w:lineRule="auto"/>
              <w:ind w:left="1080" w:firstLine="0"/>
              <w:jc w:val="both"/>
              <w:textAlignment w:val="baseline"/>
              <w:rPr>
                <w:rFonts w:ascii="Arial" w:eastAsia="Times New Roman" w:hAnsi="Arial" w:cs="Arial"/>
                <w:sz w:val="20"/>
                <w:szCs w:val="20"/>
                <w:lang w:eastAsia="en-GB"/>
              </w:rPr>
            </w:pPr>
            <w:r w:rsidRPr="00121714">
              <w:rPr>
                <w:rFonts w:ascii="Arial" w:eastAsia="Times New Roman" w:hAnsi="Arial" w:cs="Arial"/>
                <w:sz w:val="20"/>
                <w:szCs w:val="20"/>
                <w:lang w:eastAsia="en-GB"/>
              </w:rPr>
              <w:t>Transition to the new system </w:t>
            </w:r>
          </w:p>
          <w:p w14:paraId="51293952" w14:textId="77777777" w:rsidR="002B18A6" w:rsidRPr="00121714" w:rsidRDefault="002B18A6" w:rsidP="00F341E0">
            <w:pPr>
              <w:spacing w:after="0" w:line="240" w:lineRule="auto"/>
              <w:textAlignment w:val="baseline"/>
              <w:rPr>
                <w:rFonts w:ascii="Times New Roman" w:eastAsia="Times New Roman" w:hAnsi="Times New Roman" w:cs="Times New Roman"/>
                <w:sz w:val="24"/>
                <w:szCs w:val="24"/>
                <w:lang w:eastAsia="en-GB"/>
              </w:rPr>
            </w:pPr>
            <w:r w:rsidRPr="00121714">
              <w:rPr>
                <w:rFonts w:ascii="Arial" w:eastAsia="Times New Roman" w:hAnsi="Arial" w:cs="Arial"/>
                <w:sz w:val="20"/>
                <w:szCs w:val="20"/>
                <w:lang w:eastAsia="en-GB"/>
              </w:rPr>
              <w:t> </w:t>
            </w:r>
          </w:p>
        </w:tc>
        <w:tc>
          <w:tcPr>
            <w:tcW w:w="6340" w:type="dxa"/>
            <w:tcBorders>
              <w:top w:val="single" w:sz="6" w:space="0" w:color="auto"/>
              <w:left w:val="single" w:sz="6" w:space="0" w:color="auto"/>
              <w:bottom w:val="single" w:sz="6" w:space="0" w:color="auto"/>
              <w:right w:val="single" w:sz="6" w:space="0" w:color="auto"/>
            </w:tcBorders>
            <w:shd w:val="clear" w:color="auto" w:fill="auto"/>
            <w:hideMark/>
          </w:tcPr>
          <w:p w14:paraId="3588E930" w14:textId="77777777" w:rsidR="002B18A6" w:rsidRPr="00121714" w:rsidRDefault="002B18A6" w:rsidP="00F341E0">
            <w:pPr>
              <w:numPr>
                <w:ilvl w:val="0"/>
                <w:numId w:val="15"/>
              </w:numPr>
              <w:spacing w:after="0" w:line="240" w:lineRule="auto"/>
              <w:ind w:left="1080" w:firstLine="0"/>
              <w:textAlignment w:val="baseline"/>
              <w:rPr>
                <w:rFonts w:ascii="Arial" w:eastAsia="Times New Roman" w:hAnsi="Arial" w:cs="Arial"/>
                <w:sz w:val="18"/>
                <w:szCs w:val="18"/>
                <w:lang w:eastAsia="en-GB"/>
              </w:rPr>
            </w:pPr>
            <w:r w:rsidRPr="00121714">
              <w:rPr>
                <w:rFonts w:ascii="Arial" w:eastAsia="Times New Roman" w:hAnsi="Arial" w:cs="Arial"/>
                <w:sz w:val="18"/>
                <w:szCs w:val="18"/>
                <w:lang w:eastAsia="en-GB"/>
              </w:rPr>
              <w:t>support a ‘test and learn’ approach to roll out.  </w:t>
            </w:r>
          </w:p>
          <w:p w14:paraId="6066AD94" w14:textId="77777777" w:rsidR="002B18A6" w:rsidRPr="00121714" w:rsidRDefault="002B18A6" w:rsidP="00F341E0">
            <w:pPr>
              <w:spacing w:after="0" w:line="240" w:lineRule="auto"/>
              <w:ind w:left="360"/>
              <w:textAlignment w:val="baseline"/>
              <w:rPr>
                <w:rFonts w:ascii="Times New Roman" w:eastAsia="Times New Roman" w:hAnsi="Times New Roman" w:cs="Times New Roman"/>
                <w:sz w:val="24"/>
                <w:szCs w:val="24"/>
                <w:lang w:eastAsia="en-GB"/>
              </w:rPr>
            </w:pPr>
            <w:r w:rsidRPr="00121714">
              <w:rPr>
                <w:rFonts w:ascii="Arial" w:eastAsia="Times New Roman" w:hAnsi="Arial" w:cs="Arial"/>
                <w:sz w:val="20"/>
                <w:szCs w:val="20"/>
                <w:lang w:eastAsia="en-GB"/>
              </w:rPr>
              <w:t> </w:t>
            </w:r>
          </w:p>
        </w:tc>
      </w:tr>
    </w:tbl>
    <w:p w14:paraId="67D7AAED" w14:textId="06B6FEE7" w:rsidR="0071435F" w:rsidRPr="00B31317" w:rsidRDefault="0071435F" w:rsidP="0071435F">
      <w:pPr>
        <w:tabs>
          <w:tab w:val="left" w:pos="7590"/>
        </w:tabs>
        <w:rPr>
          <w:rFonts w:ascii="Arial" w:hAnsi="Arial" w:cs="Arial"/>
          <w:b/>
          <w:bCs/>
          <w:sz w:val="24"/>
          <w:szCs w:val="24"/>
        </w:rPr>
      </w:pPr>
      <w:r w:rsidRPr="00B31317">
        <w:rPr>
          <w:rFonts w:ascii="Arial" w:hAnsi="Arial" w:cs="Arial"/>
          <w:b/>
          <w:bCs/>
          <w:sz w:val="24"/>
          <w:szCs w:val="24"/>
        </w:rPr>
        <w:tab/>
      </w:r>
    </w:p>
    <w:sectPr w:rsidR="0071435F" w:rsidRPr="00B3131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7B0BA" w14:textId="77777777" w:rsidR="006E4BD8" w:rsidRDefault="006E4BD8" w:rsidP="0071435F">
      <w:pPr>
        <w:spacing w:after="0" w:line="240" w:lineRule="auto"/>
      </w:pPr>
      <w:r>
        <w:separator/>
      </w:r>
    </w:p>
  </w:endnote>
  <w:endnote w:type="continuationSeparator" w:id="0">
    <w:p w14:paraId="3C2C0EEC" w14:textId="77777777" w:rsidR="006E4BD8" w:rsidRDefault="006E4BD8" w:rsidP="00714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tkinson Hyperlegible">
    <w:altName w:val="Calibri"/>
    <w:panose1 w:val="00000000000000000000"/>
    <w:charset w:val="00"/>
    <w:family w:val="modern"/>
    <w:notTrueType/>
    <w:pitch w:val="variable"/>
    <w:sig w:usb0="00000027" w:usb1="00000000" w:usb2="00000000" w:usb3="00000000" w:csb0="0000008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D6EED" w14:textId="77777777" w:rsidR="000403AF" w:rsidRDefault="00040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9EEC9" w14:textId="5757058E" w:rsidR="0071435F" w:rsidRDefault="0071435F">
    <w:pPr>
      <w:pStyle w:val="Footer"/>
    </w:pPr>
    <w:r>
      <w:rPr>
        <w:rFonts w:ascii="Microsoft New Tai Lue" w:hAnsi="Microsoft New Tai Lue" w:cs="Microsoft New Tai Lue"/>
        <w:b/>
        <w:noProof/>
        <w:color w:val="A91347"/>
      </w:rPr>
      <w:drawing>
        <wp:anchor distT="0" distB="0" distL="114300" distR="114300" simplePos="0" relativeHeight="251661312" behindDoc="1" locked="1" layoutInCell="1" allowOverlap="1" wp14:anchorId="407CEAA2" wp14:editId="4AF4BCDF">
          <wp:simplePos x="0" y="0"/>
          <wp:positionH relativeFrom="column">
            <wp:posOffset>-720725</wp:posOffset>
          </wp:positionH>
          <wp:positionV relativeFrom="page">
            <wp:posOffset>9871710</wp:posOffset>
          </wp:positionV>
          <wp:extent cx="7112000" cy="6851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112000" cy="68516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D9F32" w14:textId="77777777" w:rsidR="000403AF" w:rsidRDefault="00040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693ED" w14:textId="77777777" w:rsidR="006E4BD8" w:rsidRDefault="006E4BD8" w:rsidP="0071435F">
      <w:pPr>
        <w:spacing w:after="0" w:line="240" w:lineRule="auto"/>
      </w:pPr>
      <w:r>
        <w:separator/>
      </w:r>
    </w:p>
  </w:footnote>
  <w:footnote w:type="continuationSeparator" w:id="0">
    <w:p w14:paraId="65BCAC1A" w14:textId="77777777" w:rsidR="006E4BD8" w:rsidRDefault="006E4BD8" w:rsidP="007143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FE7E1" w14:textId="77777777" w:rsidR="000403AF" w:rsidRDefault="000403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4A384" w14:textId="77777777" w:rsidR="0071435F" w:rsidRPr="001D1EA9" w:rsidRDefault="0071435F" w:rsidP="0071435F">
    <w:pPr>
      <w:pStyle w:val="Header"/>
      <w:ind w:left="-851" w:firstLine="142"/>
      <w:rPr>
        <w:rStyle w:val="Style8"/>
        <w:color w:val="006072"/>
      </w:rPr>
    </w:pPr>
    <w:r w:rsidRPr="001D1EA9">
      <w:rPr>
        <w:rStyle w:val="Style8"/>
        <w:color w:val="006072"/>
      </w:rPr>
      <w:t>Somerset Council</w:t>
    </w:r>
  </w:p>
  <w:p w14:paraId="2141DC9E" w14:textId="77777777" w:rsidR="0071435F" w:rsidRPr="000403AF" w:rsidRDefault="0071435F" w:rsidP="0071435F">
    <w:pPr>
      <w:pStyle w:val="Header"/>
      <w:ind w:left="-851" w:firstLine="142"/>
      <w:rPr>
        <w:rStyle w:val="Style8"/>
        <w:b w:val="0"/>
        <w:color w:val="385623" w:themeColor="accent6" w:themeShade="80"/>
      </w:rPr>
    </w:pPr>
    <w:r w:rsidRPr="000403AF">
      <w:rPr>
        <w:rStyle w:val="Style8"/>
        <w:color w:val="385623" w:themeColor="accent6" w:themeShade="80"/>
      </w:rPr>
      <w:t>County Hall, Taunton</w:t>
    </w:r>
  </w:p>
  <w:p w14:paraId="76B94ED2" w14:textId="77777777" w:rsidR="0071435F" w:rsidRPr="000403AF" w:rsidRDefault="0071435F" w:rsidP="0071435F">
    <w:pPr>
      <w:pStyle w:val="Header"/>
      <w:ind w:left="-851" w:firstLine="142"/>
      <w:rPr>
        <w:rStyle w:val="Style8"/>
        <w:b w:val="0"/>
        <w:color w:val="385623" w:themeColor="accent6" w:themeShade="80"/>
      </w:rPr>
    </w:pPr>
    <w:r w:rsidRPr="000403AF">
      <w:rPr>
        <w:rStyle w:val="Style8"/>
        <w:color w:val="385623" w:themeColor="accent6" w:themeShade="80"/>
      </w:rPr>
      <w:t>Somerset, TA1 4DY</w:t>
    </w:r>
  </w:p>
  <w:p w14:paraId="6CEA1206" w14:textId="2EC1F0EE" w:rsidR="0071435F" w:rsidRDefault="0071435F" w:rsidP="0071435F">
    <w:pPr>
      <w:pStyle w:val="Header"/>
      <w:tabs>
        <w:tab w:val="right" w:pos="8534"/>
      </w:tabs>
    </w:pPr>
    <w:r>
      <w:tab/>
    </w:r>
    <w:r>
      <w:tab/>
    </w:r>
    <w:r w:rsidRPr="00DD0C45">
      <w:rPr>
        <w:b/>
        <w:noProof/>
        <w:color w:val="C73672"/>
        <w:szCs w:val="16"/>
      </w:rPr>
      <w:drawing>
        <wp:anchor distT="0" distB="0" distL="114300" distR="114300" simplePos="0" relativeHeight="251659264" behindDoc="0" locked="0" layoutInCell="1" allowOverlap="1" wp14:anchorId="4A0C7D59" wp14:editId="5738C466">
          <wp:simplePos x="0" y="0"/>
          <wp:positionH relativeFrom="column">
            <wp:posOffset>5381625</wp:posOffset>
          </wp:positionH>
          <wp:positionV relativeFrom="page">
            <wp:posOffset>114935</wp:posOffset>
          </wp:positionV>
          <wp:extent cx="1093470" cy="1242695"/>
          <wp:effectExtent l="0" t="0" r="0" b="0"/>
          <wp:wrapThrough wrapText="bothSides">
            <wp:wrapPolygon edited="0">
              <wp:start x="7150" y="1324"/>
              <wp:lineTo x="3010" y="6291"/>
              <wp:lineTo x="3010" y="7616"/>
              <wp:lineTo x="5268" y="12583"/>
              <wp:lineTo x="1882" y="14238"/>
              <wp:lineTo x="1882" y="16556"/>
              <wp:lineTo x="4892" y="17880"/>
              <wp:lineTo x="5268" y="19867"/>
              <wp:lineTo x="16557" y="19867"/>
              <wp:lineTo x="16181" y="17880"/>
              <wp:lineTo x="19568" y="16556"/>
              <wp:lineTo x="19192" y="14238"/>
              <wp:lineTo x="15429" y="12583"/>
              <wp:lineTo x="18439" y="6954"/>
              <wp:lineTo x="16557" y="5298"/>
              <wp:lineTo x="10537" y="1324"/>
              <wp:lineTo x="7150" y="1324"/>
            </wp:wrapPolygon>
          </wp:wrapThrough>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3470" cy="124269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D52B" w14:textId="77777777" w:rsidR="000403AF" w:rsidRDefault="000403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814EE"/>
    <w:multiLevelType w:val="multilevel"/>
    <w:tmpl w:val="3FDE8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26163F"/>
    <w:multiLevelType w:val="multilevel"/>
    <w:tmpl w:val="34FC1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2238E0"/>
    <w:multiLevelType w:val="multilevel"/>
    <w:tmpl w:val="4C1E9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2650D3"/>
    <w:multiLevelType w:val="multilevel"/>
    <w:tmpl w:val="011A8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C10187"/>
    <w:multiLevelType w:val="multilevel"/>
    <w:tmpl w:val="A07AE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5632B2"/>
    <w:multiLevelType w:val="multilevel"/>
    <w:tmpl w:val="193A4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7A7B70"/>
    <w:multiLevelType w:val="multilevel"/>
    <w:tmpl w:val="AE4C1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F83561"/>
    <w:multiLevelType w:val="hybridMultilevel"/>
    <w:tmpl w:val="EBDCD65E"/>
    <w:lvl w:ilvl="0" w:tplc="E79C0430">
      <w:start w:val="20"/>
      <w:numFmt w:val="bullet"/>
      <w:lvlText w:val="-"/>
      <w:lvlJc w:val="left"/>
      <w:pPr>
        <w:ind w:left="720" w:hanging="360"/>
      </w:pPr>
      <w:rPr>
        <w:rFonts w:ascii="Microsoft New Tai Lue" w:eastAsia="Calibri" w:hAnsi="Microsoft New Tai Lue" w:cs="Microsoft New Tai Lu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EC7588"/>
    <w:multiLevelType w:val="multilevel"/>
    <w:tmpl w:val="55367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413093"/>
    <w:multiLevelType w:val="multilevel"/>
    <w:tmpl w:val="66402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5700A6"/>
    <w:multiLevelType w:val="multilevel"/>
    <w:tmpl w:val="35D81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F937EA7"/>
    <w:multiLevelType w:val="multilevel"/>
    <w:tmpl w:val="1CCAF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7D6029E"/>
    <w:multiLevelType w:val="multilevel"/>
    <w:tmpl w:val="3FDE8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82B24EA"/>
    <w:multiLevelType w:val="multilevel"/>
    <w:tmpl w:val="CD804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7EC1B2D"/>
    <w:multiLevelType w:val="hybridMultilevel"/>
    <w:tmpl w:val="67CEAE7A"/>
    <w:lvl w:ilvl="0" w:tplc="08090001">
      <w:start w:val="1"/>
      <w:numFmt w:val="bullet"/>
      <w:lvlText w:val=""/>
      <w:lvlJc w:val="left"/>
      <w:pPr>
        <w:ind w:left="874" w:hanging="360"/>
      </w:pPr>
      <w:rPr>
        <w:rFonts w:ascii="Symbol" w:hAnsi="Symbol" w:hint="default"/>
      </w:rPr>
    </w:lvl>
    <w:lvl w:ilvl="1" w:tplc="08090003" w:tentative="1">
      <w:start w:val="1"/>
      <w:numFmt w:val="bullet"/>
      <w:lvlText w:val="o"/>
      <w:lvlJc w:val="left"/>
      <w:pPr>
        <w:ind w:left="1594" w:hanging="360"/>
      </w:pPr>
      <w:rPr>
        <w:rFonts w:ascii="Courier New" w:hAnsi="Courier New" w:cs="Courier New" w:hint="default"/>
      </w:rPr>
    </w:lvl>
    <w:lvl w:ilvl="2" w:tplc="08090005" w:tentative="1">
      <w:start w:val="1"/>
      <w:numFmt w:val="bullet"/>
      <w:lvlText w:val=""/>
      <w:lvlJc w:val="left"/>
      <w:pPr>
        <w:ind w:left="2314" w:hanging="360"/>
      </w:pPr>
      <w:rPr>
        <w:rFonts w:ascii="Wingdings" w:hAnsi="Wingdings" w:hint="default"/>
      </w:rPr>
    </w:lvl>
    <w:lvl w:ilvl="3" w:tplc="08090001" w:tentative="1">
      <w:start w:val="1"/>
      <w:numFmt w:val="bullet"/>
      <w:lvlText w:val=""/>
      <w:lvlJc w:val="left"/>
      <w:pPr>
        <w:ind w:left="3034" w:hanging="360"/>
      </w:pPr>
      <w:rPr>
        <w:rFonts w:ascii="Symbol" w:hAnsi="Symbol" w:hint="default"/>
      </w:rPr>
    </w:lvl>
    <w:lvl w:ilvl="4" w:tplc="08090003" w:tentative="1">
      <w:start w:val="1"/>
      <w:numFmt w:val="bullet"/>
      <w:lvlText w:val="o"/>
      <w:lvlJc w:val="left"/>
      <w:pPr>
        <w:ind w:left="3754" w:hanging="360"/>
      </w:pPr>
      <w:rPr>
        <w:rFonts w:ascii="Courier New" w:hAnsi="Courier New" w:cs="Courier New" w:hint="default"/>
      </w:rPr>
    </w:lvl>
    <w:lvl w:ilvl="5" w:tplc="08090005" w:tentative="1">
      <w:start w:val="1"/>
      <w:numFmt w:val="bullet"/>
      <w:lvlText w:val=""/>
      <w:lvlJc w:val="left"/>
      <w:pPr>
        <w:ind w:left="4474" w:hanging="360"/>
      </w:pPr>
      <w:rPr>
        <w:rFonts w:ascii="Wingdings" w:hAnsi="Wingdings" w:hint="default"/>
      </w:rPr>
    </w:lvl>
    <w:lvl w:ilvl="6" w:tplc="08090001" w:tentative="1">
      <w:start w:val="1"/>
      <w:numFmt w:val="bullet"/>
      <w:lvlText w:val=""/>
      <w:lvlJc w:val="left"/>
      <w:pPr>
        <w:ind w:left="5194" w:hanging="360"/>
      </w:pPr>
      <w:rPr>
        <w:rFonts w:ascii="Symbol" w:hAnsi="Symbol" w:hint="default"/>
      </w:rPr>
    </w:lvl>
    <w:lvl w:ilvl="7" w:tplc="08090003" w:tentative="1">
      <w:start w:val="1"/>
      <w:numFmt w:val="bullet"/>
      <w:lvlText w:val="o"/>
      <w:lvlJc w:val="left"/>
      <w:pPr>
        <w:ind w:left="5914" w:hanging="360"/>
      </w:pPr>
      <w:rPr>
        <w:rFonts w:ascii="Courier New" w:hAnsi="Courier New" w:cs="Courier New" w:hint="default"/>
      </w:rPr>
    </w:lvl>
    <w:lvl w:ilvl="8" w:tplc="08090005" w:tentative="1">
      <w:start w:val="1"/>
      <w:numFmt w:val="bullet"/>
      <w:lvlText w:val=""/>
      <w:lvlJc w:val="left"/>
      <w:pPr>
        <w:ind w:left="6634" w:hanging="360"/>
      </w:pPr>
      <w:rPr>
        <w:rFonts w:ascii="Wingdings" w:hAnsi="Wingdings" w:hint="default"/>
      </w:rPr>
    </w:lvl>
  </w:abstractNum>
  <w:abstractNum w:abstractNumId="15" w15:restartNumberingAfterBreak="0">
    <w:nsid w:val="6F305A91"/>
    <w:multiLevelType w:val="multilevel"/>
    <w:tmpl w:val="87869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ED4118"/>
    <w:multiLevelType w:val="hybridMultilevel"/>
    <w:tmpl w:val="FEA498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310402172">
    <w:abstractNumId w:val="16"/>
  </w:num>
  <w:num w:numId="2" w16cid:durableId="1999576859">
    <w:abstractNumId w:val="7"/>
  </w:num>
  <w:num w:numId="3" w16cid:durableId="1694333457">
    <w:abstractNumId w:val="8"/>
  </w:num>
  <w:num w:numId="4" w16cid:durableId="531655655">
    <w:abstractNumId w:val="1"/>
  </w:num>
  <w:num w:numId="5" w16cid:durableId="1462306779">
    <w:abstractNumId w:val="5"/>
  </w:num>
  <w:num w:numId="6" w16cid:durableId="207451800">
    <w:abstractNumId w:val="12"/>
  </w:num>
  <w:num w:numId="7" w16cid:durableId="99296738">
    <w:abstractNumId w:val="9"/>
  </w:num>
  <w:num w:numId="8" w16cid:durableId="200171514">
    <w:abstractNumId w:val="6"/>
  </w:num>
  <w:num w:numId="9" w16cid:durableId="1200044164">
    <w:abstractNumId w:val="10"/>
  </w:num>
  <w:num w:numId="10" w16cid:durableId="1779367959">
    <w:abstractNumId w:val="15"/>
  </w:num>
  <w:num w:numId="11" w16cid:durableId="737826069">
    <w:abstractNumId w:val="3"/>
  </w:num>
  <w:num w:numId="12" w16cid:durableId="1349680455">
    <w:abstractNumId w:val="13"/>
  </w:num>
  <w:num w:numId="13" w16cid:durableId="1399403077">
    <w:abstractNumId w:val="2"/>
  </w:num>
  <w:num w:numId="14" w16cid:durableId="1031422171">
    <w:abstractNumId w:val="4"/>
  </w:num>
  <w:num w:numId="15" w16cid:durableId="1634211006">
    <w:abstractNumId w:val="11"/>
  </w:num>
  <w:num w:numId="16" w16cid:durableId="1596329816">
    <w:abstractNumId w:val="14"/>
  </w:num>
  <w:num w:numId="17" w16cid:durableId="1429152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35F"/>
    <w:rsid w:val="000403AF"/>
    <w:rsid w:val="000B7995"/>
    <w:rsid w:val="001F37B6"/>
    <w:rsid w:val="001F578F"/>
    <w:rsid w:val="00255B6C"/>
    <w:rsid w:val="002B18A6"/>
    <w:rsid w:val="004F16D7"/>
    <w:rsid w:val="005504D1"/>
    <w:rsid w:val="006E4BD8"/>
    <w:rsid w:val="007116DA"/>
    <w:rsid w:val="0071435F"/>
    <w:rsid w:val="007663FB"/>
    <w:rsid w:val="008B21BD"/>
    <w:rsid w:val="00987DC3"/>
    <w:rsid w:val="009E4A69"/>
    <w:rsid w:val="00A5770E"/>
    <w:rsid w:val="00B31317"/>
    <w:rsid w:val="00B661F4"/>
    <w:rsid w:val="00CF2068"/>
    <w:rsid w:val="00D36F11"/>
    <w:rsid w:val="00D43781"/>
    <w:rsid w:val="00DC5D07"/>
    <w:rsid w:val="00E07A2F"/>
    <w:rsid w:val="00E322E2"/>
    <w:rsid w:val="00F03DF8"/>
    <w:rsid w:val="00F2298E"/>
    <w:rsid w:val="00F76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5B257"/>
  <w15:chartTrackingRefBased/>
  <w15:docId w15:val="{E0FBAB7E-D3A2-4F5F-BB3F-478B028E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143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35F"/>
  </w:style>
  <w:style w:type="paragraph" w:styleId="Footer">
    <w:name w:val="footer"/>
    <w:basedOn w:val="Normal"/>
    <w:link w:val="FooterChar"/>
    <w:uiPriority w:val="99"/>
    <w:unhideWhenUsed/>
    <w:rsid w:val="007143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35F"/>
  </w:style>
  <w:style w:type="character" w:customStyle="1" w:styleId="Style8">
    <w:name w:val="Style8"/>
    <w:basedOn w:val="DefaultParagraphFont"/>
    <w:uiPriority w:val="1"/>
    <w:rsid w:val="0071435F"/>
    <w:rPr>
      <w:rFonts w:ascii="Arial" w:hAnsi="Arial"/>
      <w:b/>
      <w:color w:val="A91347"/>
      <w:sz w:val="24"/>
    </w:rPr>
  </w:style>
  <w:style w:type="table" w:styleId="TableGrid">
    <w:name w:val="Table Grid"/>
    <w:basedOn w:val="TableNormal"/>
    <w:uiPriority w:val="39"/>
    <w:rsid w:val="00714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435F"/>
    <w:rPr>
      <w:color w:val="0563C1" w:themeColor="hyperlink"/>
      <w:u w:val="single"/>
    </w:rPr>
  </w:style>
  <w:style w:type="paragraph" w:customStyle="1" w:styleId="paragraph">
    <w:name w:val="paragraph"/>
    <w:basedOn w:val="Normal"/>
    <w:rsid w:val="0071435F"/>
    <w:pPr>
      <w:spacing w:before="100" w:beforeAutospacing="1" w:after="100" w:afterAutospacing="1" w:line="240" w:lineRule="auto"/>
    </w:pPr>
    <w:rPr>
      <w:rFonts w:ascii="Calibri" w:eastAsia="Times New Roman" w:hAnsi="Calibri" w:cs="Calibri"/>
      <w:lang w:eastAsia="en-GB"/>
    </w:rPr>
  </w:style>
  <w:style w:type="character" w:customStyle="1" w:styleId="normaltextrun">
    <w:name w:val="normaltextrun"/>
    <w:basedOn w:val="DefaultParagraphFont"/>
    <w:rsid w:val="0071435F"/>
  </w:style>
  <w:style w:type="character" w:customStyle="1" w:styleId="eop">
    <w:name w:val="eop"/>
    <w:basedOn w:val="DefaultParagraphFont"/>
    <w:rsid w:val="0071435F"/>
  </w:style>
  <w:style w:type="paragraph" w:styleId="ListParagraph">
    <w:name w:val="List Paragraph"/>
    <w:basedOn w:val="Normal"/>
    <w:uiPriority w:val="34"/>
    <w:qFormat/>
    <w:rsid w:val="002B18A6"/>
    <w:pPr>
      <w:spacing w:after="200" w:line="276" w:lineRule="auto"/>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local.gov.uk/parliament/briefings-and-responses/lgas-response-dluhcs-technical-consultation-infrastructure-levy"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D0EC5B143A5241973C730F4BBE7D90" ma:contentTypeVersion="9" ma:contentTypeDescription="Create a new document." ma:contentTypeScope="" ma:versionID="9b631dccd6f805eff5b1b286ca4ea260">
  <xsd:schema xmlns:xsd="http://www.w3.org/2001/XMLSchema" xmlns:xs="http://www.w3.org/2001/XMLSchema" xmlns:p="http://schemas.microsoft.com/office/2006/metadata/properties" xmlns:ns2="d0e245b1-c3a5-48de-b38a-7f8c8bd9059a" xmlns:ns3="ab749682-247d-4ba8-8c19-e8711ecad326" targetNamespace="http://schemas.microsoft.com/office/2006/metadata/properties" ma:root="true" ma:fieldsID="b42bc15804a7a5ebb17679eb3e55972b" ns2:_="" ns3:_="">
    <xsd:import namespace="d0e245b1-c3a5-48de-b38a-7f8c8bd9059a"/>
    <xsd:import namespace="ab749682-247d-4ba8-8c19-e8711ecad326"/>
    <xsd:element name="properties">
      <xsd:complexType>
        <xsd:sequence>
          <xsd:element name="documentManagement">
            <xsd:complexType>
              <xsd:all>
                <xsd:element ref="ns2:Archiv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245b1-c3a5-48de-b38a-7f8c8bd9059a" elementFormDefault="qualified">
    <xsd:import namespace="http://schemas.microsoft.com/office/2006/documentManagement/types"/>
    <xsd:import namespace="http://schemas.microsoft.com/office/infopath/2007/PartnerControls"/>
    <xsd:element name="Archive" ma:index="8" nillable="true" ma:displayName="Archive" ma:default="0" ma:internalName="Archive">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749682-247d-4ba8-8c19-e8711ecad32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b6b569b-509a-467d-b105-d97728d3fc11"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chive xmlns="d0e245b1-c3a5-48de-b38a-7f8c8bd9059a">false</Archive>
  </documentManagement>
</p:properties>
</file>

<file path=customXml/itemProps1.xml><?xml version="1.0" encoding="utf-8"?>
<ds:datastoreItem xmlns:ds="http://schemas.openxmlformats.org/officeDocument/2006/customXml" ds:itemID="{8284443B-F388-4C2E-B37B-538520B1FBC3}"/>
</file>

<file path=customXml/itemProps2.xml><?xml version="1.0" encoding="utf-8"?>
<ds:datastoreItem xmlns:ds="http://schemas.openxmlformats.org/officeDocument/2006/customXml" ds:itemID="{92BF0233-BEA2-40C3-8C62-A9368F9D548C}"/>
</file>

<file path=customXml/itemProps3.xml><?xml version="1.0" encoding="utf-8"?>
<ds:datastoreItem xmlns:ds="http://schemas.openxmlformats.org/officeDocument/2006/customXml" ds:itemID="{AA6FF767-C084-494F-903D-9D328174C5EE}"/>
</file>

<file path=customXml/itemProps4.xml><?xml version="1.0" encoding="utf-8"?>
<ds:datastoreItem xmlns:ds="http://schemas.openxmlformats.org/officeDocument/2006/customXml" ds:itemID="{E0CA194C-15EA-4D94-92B5-92AF7401D678}"/>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3</TotalTime>
  <Pages>5</Pages>
  <Words>1702</Words>
  <Characters>9702</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Hallows</dc:creator>
  <cp:keywords/>
  <dc:description/>
  <cp:lastModifiedBy>Jonathan Hallows</cp:lastModifiedBy>
  <cp:revision>2</cp:revision>
  <dcterms:created xsi:type="dcterms:W3CDTF">2023-06-29T09:25:00Z</dcterms:created>
  <dcterms:modified xsi:type="dcterms:W3CDTF">2023-06-29T09:25:00Z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0x010100E4D0EC5B143A5241973C730F4BBE7D90</vt:lpwstr>
  </property>
</Properties>
</file>